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C01" w:rsidRPr="00604C01" w:rsidRDefault="00604C01" w:rsidP="00604C01">
      <w:pPr>
        <w:jc w:val="center"/>
        <w:outlineLvl w:val="0"/>
        <w:rPr>
          <w:rFonts w:ascii="Calibri" w:hAnsi="Calibri"/>
          <w:b/>
          <w:lang w:val="es-CR"/>
        </w:rPr>
      </w:pPr>
      <w:r w:rsidRPr="00604C01">
        <w:rPr>
          <w:rFonts w:ascii="Calibri" w:hAnsi="Calibri"/>
          <w:b/>
          <w:lang w:val="es-CR"/>
        </w:rPr>
        <w:t>PROGRAMA DE LAS NACIONES UNIDAS PARA EL DESARROLLO</w:t>
      </w:r>
    </w:p>
    <w:p w:rsidR="00604C01" w:rsidRPr="00604C01" w:rsidRDefault="00604C01" w:rsidP="00604C01">
      <w:pPr>
        <w:jc w:val="center"/>
        <w:outlineLvl w:val="0"/>
        <w:rPr>
          <w:rFonts w:ascii="Calibri" w:hAnsi="Calibri"/>
          <w:b/>
          <w:lang w:val="es-CR"/>
        </w:rPr>
      </w:pPr>
      <w:r w:rsidRPr="00604C01">
        <w:rPr>
          <w:rFonts w:ascii="Calibri" w:hAnsi="Calibri"/>
          <w:b/>
          <w:lang w:val="es-CR"/>
        </w:rPr>
        <w:t>COSTA RICA</w:t>
      </w:r>
    </w:p>
    <w:p w:rsidR="00604C01" w:rsidRPr="00604C01" w:rsidRDefault="00604C01" w:rsidP="00604C01">
      <w:pPr>
        <w:jc w:val="center"/>
        <w:outlineLvl w:val="0"/>
        <w:rPr>
          <w:rFonts w:ascii="Calibri" w:hAnsi="Calibri"/>
          <w:b/>
          <w:lang w:val="es-CR"/>
        </w:rPr>
      </w:pPr>
      <w:r w:rsidRPr="004544A6">
        <w:rPr>
          <w:noProof/>
          <w:color w:val="002060"/>
          <w:lang w:val="es-CR" w:eastAsia="es-CR"/>
        </w:rPr>
        <w:drawing>
          <wp:anchor distT="0" distB="0" distL="114300" distR="114300" simplePos="0" relativeHeight="251659264" behindDoc="0" locked="0" layoutInCell="1" allowOverlap="1" wp14:anchorId="63B11A28" wp14:editId="1C455144">
            <wp:simplePos x="0" y="0"/>
            <wp:positionH relativeFrom="column">
              <wp:posOffset>-108585</wp:posOffset>
            </wp:positionH>
            <wp:positionV relativeFrom="paragraph">
              <wp:posOffset>237490</wp:posOffset>
            </wp:positionV>
            <wp:extent cx="1016000" cy="914400"/>
            <wp:effectExtent l="19050" t="0" r="0" b="0"/>
            <wp:wrapSquare wrapText="bothSides"/>
            <wp:docPr id="2" name="Picture 11" descr="C:\Users\KLEE\Desktop\Seguridad Humana\Logos de Seguridad Human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EE\Desktop\Seguridad Humana\Logos de Seguridad Humana\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914400"/>
                    </a:xfrm>
                    <a:prstGeom prst="rect">
                      <a:avLst/>
                    </a:prstGeom>
                    <a:noFill/>
                    <a:ln>
                      <a:noFill/>
                    </a:ln>
                  </pic:spPr>
                </pic:pic>
              </a:graphicData>
            </a:graphic>
          </wp:anchor>
        </w:drawing>
      </w:r>
      <w:r w:rsidRPr="00604C01">
        <w:rPr>
          <w:rFonts w:ascii="Calibri" w:hAnsi="Calibri"/>
          <w:b/>
          <w:lang w:val="es-CR"/>
        </w:rPr>
        <w:t xml:space="preserve">PROYECTO </w:t>
      </w:r>
      <w:r>
        <w:rPr>
          <w:rFonts w:ascii="Calibri" w:hAnsi="Calibri"/>
          <w:b/>
          <w:lang w:val="es-CR"/>
        </w:rPr>
        <w:t>88004</w:t>
      </w:r>
    </w:p>
    <w:p w:rsidR="00604C01" w:rsidRDefault="00604C01" w:rsidP="00604C01">
      <w:pPr>
        <w:pStyle w:val="Encabezado"/>
        <w:ind w:left="720"/>
        <w:jc w:val="center"/>
        <w:rPr>
          <w:b/>
          <w:bCs/>
          <w:noProof/>
          <w:color w:val="002060"/>
          <w:lang w:val="es-CR" w:eastAsia="es-ES"/>
        </w:rPr>
      </w:pPr>
    </w:p>
    <w:p w:rsidR="00604C01" w:rsidRPr="001C5CA1" w:rsidRDefault="00604C01" w:rsidP="00604C01">
      <w:pPr>
        <w:pStyle w:val="Encabezado"/>
        <w:ind w:left="720"/>
        <w:jc w:val="center"/>
        <w:rPr>
          <w:b/>
          <w:bCs/>
          <w:noProof/>
          <w:color w:val="002060"/>
          <w:lang w:val="es-CR" w:eastAsia="es-ES"/>
        </w:rPr>
      </w:pPr>
      <w:r w:rsidRPr="001C5CA1">
        <w:rPr>
          <w:b/>
          <w:bCs/>
          <w:noProof/>
          <w:color w:val="002060"/>
          <w:lang w:val="es-CR" w:eastAsia="es-ES"/>
        </w:rPr>
        <w:t>Programa Conjunto Binacional para Mejorar la Seguridad Humana</w:t>
      </w:r>
    </w:p>
    <w:p w:rsidR="00604C01" w:rsidRPr="004544A6" w:rsidRDefault="00604C01" w:rsidP="00604C01">
      <w:pPr>
        <w:pStyle w:val="Encabezado"/>
        <w:ind w:left="720"/>
        <w:jc w:val="center"/>
        <w:rPr>
          <w:noProof/>
          <w:color w:val="002060"/>
          <w:lang w:val="es-ES" w:eastAsia="es-ES"/>
        </w:rPr>
      </w:pPr>
      <w:r w:rsidRPr="001C5CA1">
        <w:rPr>
          <w:b/>
          <w:bCs/>
          <w:noProof/>
          <w:color w:val="002060"/>
          <w:lang w:val="es-CR" w:eastAsia="es-ES"/>
        </w:rPr>
        <w:t>de Migrantes Temporales Ngäbe y Buglé en Costa Rica y Panamá</w:t>
      </w:r>
    </w:p>
    <w:p w:rsidR="00604C01" w:rsidRDefault="00604C01" w:rsidP="00604C01">
      <w:pPr>
        <w:jc w:val="center"/>
        <w:rPr>
          <w:rFonts w:ascii="Calibri" w:hAnsi="Calibri"/>
          <w:b/>
          <w:lang w:val="es-ES"/>
        </w:rPr>
      </w:pPr>
    </w:p>
    <w:p w:rsidR="00D65BFA" w:rsidRPr="00D65BFA" w:rsidRDefault="00D65BFA" w:rsidP="00604C01">
      <w:pPr>
        <w:jc w:val="center"/>
        <w:rPr>
          <w:b/>
          <w:lang w:val="es-ES"/>
        </w:rPr>
      </w:pPr>
      <w:r w:rsidRPr="00D65BFA">
        <w:rPr>
          <w:b/>
          <w:lang w:val="es-ES"/>
        </w:rPr>
        <w:t>Reporte de resultados 2013-2015</w:t>
      </w:r>
    </w:p>
    <w:p w:rsidR="00604C01" w:rsidRPr="00D65BFA" w:rsidRDefault="00604C01" w:rsidP="00D4600E">
      <w:pPr>
        <w:jc w:val="both"/>
        <w:rPr>
          <w:b/>
          <w:bCs/>
          <w:u w:val="single"/>
          <w:lang w:val="es-CR"/>
        </w:rPr>
      </w:pPr>
    </w:p>
    <w:p w:rsidR="00D4600E" w:rsidRPr="00D65BFA" w:rsidRDefault="00D4600E" w:rsidP="00D4600E">
      <w:pPr>
        <w:jc w:val="both"/>
        <w:rPr>
          <w:bCs/>
          <w:lang w:val="es-CR"/>
        </w:rPr>
      </w:pPr>
      <w:r w:rsidRPr="00D65BFA">
        <w:rPr>
          <w:b/>
          <w:bCs/>
          <w:u w:val="single"/>
          <w:lang w:val="es-CR"/>
        </w:rPr>
        <w:t>Objetivo General</w:t>
      </w:r>
      <w:r w:rsidRPr="00D65BFA">
        <w:rPr>
          <w:b/>
          <w:bCs/>
          <w:lang w:val="es-CR"/>
        </w:rPr>
        <w:t xml:space="preserve">: Mejorar la seguridad humana de la población migrante </w:t>
      </w:r>
      <w:proofErr w:type="spellStart"/>
      <w:r w:rsidRPr="00D65BFA">
        <w:rPr>
          <w:b/>
          <w:bCs/>
          <w:lang w:val="es-CR"/>
        </w:rPr>
        <w:t>Ngäbe</w:t>
      </w:r>
      <w:proofErr w:type="spellEnd"/>
      <w:r w:rsidRPr="00D65BFA">
        <w:rPr>
          <w:b/>
          <w:bCs/>
          <w:lang w:val="es-CR"/>
        </w:rPr>
        <w:t xml:space="preserve"> y </w:t>
      </w:r>
      <w:proofErr w:type="spellStart"/>
      <w:r w:rsidRPr="00D65BFA">
        <w:rPr>
          <w:b/>
          <w:bCs/>
          <w:lang w:val="es-CR"/>
        </w:rPr>
        <w:t>Buglé</w:t>
      </w:r>
      <w:proofErr w:type="spellEnd"/>
      <w:r w:rsidRPr="00D65BFA">
        <w:rPr>
          <w:bCs/>
          <w:lang w:val="es-CR"/>
        </w:rPr>
        <w:t xml:space="preserve">, particularmente su seguridad sanitaria, alimentaria, económica, personal, comunitaria y política, a través de su empoderamiento y mediante un mejor acceso a servicios públicos protectores que sean de calidad y que tomen en cuenta su cultura. </w:t>
      </w:r>
    </w:p>
    <w:p w:rsidR="00D4600E" w:rsidRPr="00D65BFA" w:rsidRDefault="00D4600E" w:rsidP="00D4600E">
      <w:pPr>
        <w:tabs>
          <w:tab w:val="num" w:pos="1440"/>
        </w:tabs>
        <w:jc w:val="both"/>
        <w:rPr>
          <w:bCs/>
          <w:u w:val="single"/>
          <w:lang w:val="es-CR"/>
        </w:rPr>
      </w:pPr>
      <w:r w:rsidRPr="00D65BFA">
        <w:rPr>
          <w:b/>
          <w:bCs/>
          <w:u w:val="single"/>
          <w:lang w:val="es-CR"/>
        </w:rPr>
        <w:t>Objetivos Específicos y Resultados:</w:t>
      </w:r>
    </w:p>
    <w:p w:rsidR="00D4600E" w:rsidRPr="00D65BFA" w:rsidRDefault="00D4600E" w:rsidP="00D4600E">
      <w:pPr>
        <w:tabs>
          <w:tab w:val="num" w:pos="1440"/>
        </w:tabs>
        <w:spacing w:after="40"/>
        <w:jc w:val="both"/>
        <w:rPr>
          <w:bCs/>
          <w:lang w:val="es-CR"/>
        </w:rPr>
      </w:pPr>
      <w:r w:rsidRPr="00D65BFA">
        <w:rPr>
          <w:bCs/>
          <w:lang w:val="es-CR"/>
        </w:rPr>
        <w:t xml:space="preserve">1.  </w:t>
      </w:r>
      <w:r w:rsidRPr="00D65BFA">
        <w:rPr>
          <w:b/>
          <w:bCs/>
          <w:lang w:val="es-CR"/>
        </w:rPr>
        <w:t xml:space="preserve">Empoderar y fortalecer las capacidades de las familias migrantes </w:t>
      </w:r>
      <w:proofErr w:type="spellStart"/>
      <w:r w:rsidRPr="00D65BFA">
        <w:rPr>
          <w:b/>
          <w:bCs/>
          <w:lang w:val="es-CR"/>
        </w:rPr>
        <w:t>Ngäbe</w:t>
      </w:r>
      <w:proofErr w:type="spellEnd"/>
      <w:r w:rsidRPr="00D65BFA">
        <w:rPr>
          <w:b/>
          <w:bCs/>
          <w:lang w:val="es-CR"/>
        </w:rPr>
        <w:t xml:space="preserve"> y </w:t>
      </w:r>
      <w:proofErr w:type="spellStart"/>
      <w:r w:rsidRPr="00D65BFA">
        <w:rPr>
          <w:b/>
          <w:bCs/>
          <w:lang w:val="es-CR"/>
        </w:rPr>
        <w:t>Buglé</w:t>
      </w:r>
      <w:proofErr w:type="spellEnd"/>
      <w:r w:rsidRPr="00D65BFA">
        <w:rPr>
          <w:bCs/>
          <w:lang w:val="es-CR"/>
        </w:rPr>
        <w:t xml:space="preserve"> para alcanzar estándares mínimos de vida a través de una producción alimentaria autosuficiente y la comercialización de los excedentes.</w:t>
      </w:r>
    </w:p>
    <w:p w:rsidR="00D4600E" w:rsidRPr="00D65BFA" w:rsidRDefault="00D4600E" w:rsidP="00D4600E">
      <w:pPr>
        <w:tabs>
          <w:tab w:val="num" w:pos="1440"/>
        </w:tabs>
        <w:spacing w:after="40"/>
        <w:jc w:val="both"/>
        <w:rPr>
          <w:b/>
          <w:bCs/>
          <w:lang w:val="es-CR"/>
        </w:rPr>
      </w:pPr>
      <w:r w:rsidRPr="00D65BFA">
        <w:rPr>
          <w:bCs/>
          <w:lang w:val="es-CR"/>
        </w:rPr>
        <w:t xml:space="preserve">       1.1. Reforzadas las capacidades de los </w:t>
      </w:r>
      <w:proofErr w:type="spellStart"/>
      <w:r w:rsidRPr="00D65BFA">
        <w:rPr>
          <w:bCs/>
          <w:lang w:val="es-CR"/>
        </w:rPr>
        <w:t>Ngäbe</w:t>
      </w:r>
      <w:proofErr w:type="spellEnd"/>
      <w:r w:rsidRPr="00D65BFA">
        <w:rPr>
          <w:bCs/>
          <w:lang w:val="es-CR"/>
        </w:rPr>
        <w:t xml:space="preserve"> y </w:t>
      </w:r>
      <w:proofErr w:type="spellStart"/>
      <w:r w:rsidRPr="00D65BFA">
        <w:rPr>
          <w:bCs/>
          <w:lang w:val="es-CR"/>
        </w:rPr>
        <w:t>Buglé</w:t>
      </w:r>
      <w:proofErr w:type="spellEnd"/>
      <w:r w:rsidRPr="00D65BFA">
        <w:rPr>
          <w:bCs/>
          <w:lang w:val="es-CR"/>
        </w:rPr>
        <w:t xml:space="preserve"> mediante la introducción de   </w:t>
      </w:r>
      <w:r w:rsidRPr="00D65BFA">
        <w:rPr>
          <w:b/>
          <w:bCs/>
          <w:lang w:val="es-CR"/>
        </w:rPr>
        <w:t>nuevas y/o mejores   técnicas de producción de cultivos.</w:t>
      </w:r>
    </w:p>
    <w:p w:rsidR="00D4600E" w:rsidRPr="00D65BFA" w:rsidRDefault="00D4600E" w:rsidP="00D4600E">
      <w:pPr>
        <w:tabs>
          <w:tab w:val="num" w:pos="1440"/>
        </w:tabs>
        <w:spacing w:after="40"/>
        <w:jc w:val="both"/>
        <w:rPr>
          <w:bCs/>
          <w:lang w:val="es-CR"/>
        </w:rPr>
      </w:pPr>
      <w:r w:rsidRPr="00D65BFA">
        <w:rPr>
          <w:bCs/>
          <w:lang w:val="es-CR"/>
        </w:rPr>
        <w:t xml:space="preserve">2. </w:t>
      </w:r>
      <w:r w:rsidRPr="00D65BFA">
        <w:rPr>
          <w:b/>
          <w:bCs/>
          <w:lang w:val="es-CR"/>
        </w:rPr>
        <w:t xml:space="preserve">Mejorar la salud y la seguridad personal, económica y política a través de una mayor cobertura y de un mejor acceso a servicios </w:t>
      </w:r>
      <w:r w:rsidRPr="00D65BFA">
        <w:rPr>
          <w:bCs/>
          <w:lang w:val="es-CR"/>
        </w:rPr>
        <w:t>sociales, sanitarios (incluyendo modos de cuidado infantil) y laborales públicos y comunitarios con enfoque intercultural y de género, a lo largo de toda la ruta migratoria.</w:t>
      </w:r>
    </w:p>
    <w:p w:rsidR="00D4600E" w:rsidRPr="00D65BFA" w:rsidRDefault="00D4600E" w:rsidP="00D4600E">
      <w:pPr>
        <w:tabs>
          <w:tab w:val="num" w:pos="1440"/>
        </w:tabs>
        <w:spacing w:after="40"/>
        <w:jc w:val="both"/>
        <w:rPr>
          <w:bCs/>
          <w:lang w:val="es-CR"/>
        </w:rPr>
      </w:pPr>
      <w:r w:rsidRPr="00D65BFA">
        <w:rPr>
          <w:bCs/>
          <w:lang w:val="es-CR"/>
        </w:rPr>
        <w:t xml:space="preserve">      2.1. Desarrolladas y/o fortalecidas </w:t>
      </w:r>
      <w:r w:rsidRPr="00D65BFA">
        <w:rPr>
          <w:b/>
          <w:bCs/>
          <w:lang w:val="es-CR"/>
        </w:rPr>
        <w:t>las capacidades de las redes comunitarias</w:t>
      </w:r>
      <w:r w:rsidRPr="00D65BFA">
        <w:rPr>
          <w:bCs/>
          <w:lang w:val="es-CR"/>
        </w:rPr>
        <w:t xml:space="preserve"> locales e intersectoriales.</w:t>
      </w:r>
    </w:p>
    <w:p w:rsidR="00D4600E" w:rsidRPr="00D65BFA" w:rsidRDefault="00D4600E" w:rsidP="00D4600E">
      <w:pPr>
        <w:tabs>
          <w:tab w:val="num" w:pos="1440"/>
        </w:tabs>
        <w:spacing w:after="40"/>
        <w:jc w:val="both"/>
        <w:rPr>
          <w:bCs/>
          <w:lang w:val="es-CR"/>
        </w:rPr>
      </w:pPr>
      <w:r w:rsidRPr="00D65BFA">
        <w:rPr>
          <w:bCs/>
          <w:lang w:val="es-CR"/>
        </w:rPr>
        <w:t xml:space="preserve">      2.2.  Fortalecidas las capacidades de las instituciones públicas para la prestación de servicios adecuados y culturalmente sensibles</w:t>
      </w:r>
    </w:p>
    <w:p w:rsidR="00D4600E" w:rsidRPr="00D65BFA" w:rsidRDefault="00D4600E" w:rsidP="00D4600E">
      <w:pPr>
        <w:tabs>
          <w:tab w:val="num" w:pos="1440"/>
        </w:tabs>
        <w:spacing w:after="40"/>
        <w:jc w:val="both"/>
        <w:rPr>
          <w:bCs/>
          <w:lang w:val="es-CR"/>
        </w:rPr>
      </w:pPr>
      <w:r w:rsidRPr="00D65BFA">
        <w:rPr>
          <w:bCs/>
          <w:lang w:val="es-CR"/>
        </w:rPr>
        <w:t xml:space="preserve">       2.3.   Instalados y equipados </w:t>
      </w:r>
      <w:r w:rsidRPr="00D65BFA">
        <w:rPr>
          <w:b/>
          <w:bCs/>
          <w:lang w:val="es-CR"/>
        </w:rPr>
        <w:t>Centros de Orientación para las Personas Migrantes</w:t>
      </w:r>
    </w:p>
    <w:p w:rsidR="00D4600E" w:rsidRPr="00D65BFA" w:rsidRDefault="00D4600E" w:rsidP="00D4600E">
      <w:pPr>
        <w:tabs>
          <w:tab w:val="num" w:pos="1440"/>
        </w:tabs>
        <w:spacing w:after="40"/>
        <w:jc w:val="both"/>
        <w:rPr>
          <w:bCs/>
          <w:lang w:val="es-CR"/>
        </w:rPr>
      </w:pPr>
      <w:r w:rsidRPr="00D65BFA">
        <w:rPr>
          <w:bCs/>
          <w:lang w:val="es-CR"/>
        </w:rPr>
        <w:t xml:space="preserve">       2.4. Empoderada la población migrante para el </w:t>
      </w:r>
      <w:r w:rsidRPr="00D65BFA">
        <w:rPr>
          <w:b/>
          <w:bCs/>
          <w:lang w:val="es-CR"/>
        </w:rPr>
        <w:t>ejercicio y reclamo de sus derechos</w:t>
      </w:r>
      <w:r w:rsidRPr="00D65BFA">
        <w:rPr>
          <w:bCs/>
          <w:lang w:val="es-CR"/>
        </w:rPr>
        <w:t>, evitando  los riesgos para su salud y la violencia basada en género</w:t>
      </w:r>
    </w:p>
    <w:p w:rsidR="00D4600E" w:rsidRPr="00D65BFA" w:rsidRDefault="00D4600E" w:rsidP="00D4600E">
      <w:pPr>
        <w:tabs>
          <w:tab w:val="num" w:pos="1440"/>
        </w:tabs>
        <w:spacing w:after="40"/>
        <w:jc w:val="both"/>
        <w:rPr>
          <w:bCs/>
          <w:lang w:val="es-CR"/>
        </w:rPr>
      </w:pPr>
      <w:r w:rsidRPr="00D65BFA">
        <w:rPr>
          <w:bCs/>
          <w:lang w:val="es-CR"/>
        </w:rPr>
        <w:t xml:space="preserve">3. </w:t>
      </w:r>
      <w:r w:rsidRPr="00D65BFA">
        <w:rPr>
          <w:b/>
          <w:bCs/>
          <w:lang w:val="es-CR"/>
        </w:rPr>
        <w:t>Crear y fortalecer las necesarias condiciones personales, sociales, institucionales, legales y  políticas para promover y proteger en forma efectiva la seguridad humana</w:t>
      </w:r>
      <w:r w:rsidRPr="00D65BFA">
        <w:rPr>
          <w:bCs/>
          <w:lang w:val="es-CR"/>
        </w:rPr>
        <w:t xml:space="preserve"> de los </w:t>
      </w:r>
      <w:proofErr w:type="spellStart"/>
      <w:r w:rsidRPr="00D65BFA">
        <w:rPr>
          <w:bCs/>
          <w:lang w:val="es-CR"/>
        </w:rPr>
        <w:t>Ngäbe</w:t>
      </w:r>
      <w:proofErr w:type="spellEnd"/>
      <w:r w:rsidRPr="00D65BFA">
        <w:rPr>
          <w:bCs/>
          <w:lang w:val="es-CR"/>
        </w:rPr>
        <w:t xml:space="preserve"> y </w:t>
      </w:r>
      <w:proofErr w:type="spellStart"/>
      <w:r w:rsidRPr="00D65BFA">
        <w:rPr>
          <w:bCs/>
          <w:lang w:val="es-CR"/>
        </w:rPr>
        <w:t>Buglé</w:t>
      </w:r>
      <w:proofErr w:type="spellEnd"/>
      <w:r w:rsidRPr="00D65BFA">
        <w:rPr>
          <w:bCs/>
          <w:lang w:val="es-CR"/>
        </w:rPr>
        <w:t xml:space="preserve">. </w:t>
      </w:r>
    </w:p>
    <w:p w:rsidR="00D4600E" w:rsidRPr="00D65BFA" w:rsidRDefault="00D4600E" w:rsidP="00D4600E">
      <w:pPr>
        <w:tabs>
          <w:tab w:val="num" w:pos="1440"/>
        </w:tabs>
        <w:spacing w:after="40"/>
        <w:jc w:val="both"/>
        <w:rPr>
          <w:bCs/>
          <w:lang w:val="es-CR"/>
        </w:rPr>
      </w:pPr>
      <w:r w:rsidRPr="00D65BFA">
        <w:rPr>
          <w:bCs/>
          <w:lang w:val="es-CR"/>
        </w:rPr>
        <w:t xml:space="preserve">       3.1. Desarrollas </w:t>
      </w:r>
      <w:r w:rsidRPr="00D65BFA">
        <w:rPr>
          <w:b/>
          <w:bCs/>
          <w:lang w:val="es-CR"/>
        </w:rPr>
        <w:t>políticas públicas de protección integral</w:t>
      </w:r>
      <w:r w:rsidRPr="00D65BFA">
        <w:rPr>
          <w:bCs/>
          <w:lang w:val="es-CR"/>
        </w:rPr>
        <w:t xml:space="preserve"> de la población migrante </w:t>
      </w:r>
      <w:proofErr w:type="spellStart"/>
      <w:r w:rsidRPr="00D65BFA">
        <w:rPr>
          <w:bCs/>
          <w:lang w:val="es-CR"/>
        </w:rPr>
        <w:t>Ngäbe</w:t>
      </w:r>
      <w:proofErr w:type="spellEnd"/>
      <w:r w:rsidRPr="00D65BFA">
        <w:rPr>
          <w:bCs/>
          <w:lang w:val="es-CR"/>
        </w:rPr>
        <w:t xml:space="preserve"> y </w:t>
      </w:r>
      <w:proofErr w:type="spellStart"/>
      <w:r w:rsidRPr="00D65BFA">
        <w:rPr>
          <w:bCs/>
          <w:lang w:val="es-CR"/>
        </w:rPr>
        <w:t>Buglé</w:t>
      </w:r>
      <w:proofErr w:type="spellEnd"/>
      <w:r w:rsidRPr="00D65BFA">
        <w:rPr>
          <w:bCs/>
          <w:lang w:val="es-CR"/>
        </w:rPr>
        <w:t xml:space="preserve"> bajo un enfoque de seguridad humana</w:t>
      </w:r>
    </w:p>
    <w:p w:rsidR="00D4600E" w:rsidRPr="00D65BFA" w:rsidRDefault="00D4600E" w:rsidP="00D4600E">
      <w:pPr>
        <w:tabs>
          <w:tab w:val="num" w:pos="1440"/>
        </w:tabs>
        <w:spacing w:after="40"/>
        <w:jc w:val="both"/>
        <w:rPr>
          <w:bCs/>
          <w:lang w:val="es-CR"/>
        </w:rPr>
      </w:pPr>
      <w:r w:rsidRPr="00D65BFA">
        <w:rPr>
          <w:bCs/>
          <w:lang w:val="es-CR"/>
        </w:rPr>
        <w:t xml:space="preserve">       3.2. Evaluada y divulgada la </w:t>
      </w:r>
      <w:r w:rsidRPr="00D65BFA">
        <w:rPr>
          <w:b/>
          <w:bCs/>
          <w:lang w:val="es-CR"/>
        </w:rPr>
        <w:t>utilización del Enfoque de Seguridad Humana</w:t>
      </w:r>
      <w:r w:rsidRPr="00D65BFA">
        <w:rPr>
          <w:bCs/>
          <w:lang w:val="es-CR"/>
        </w:rPr>
        <w:t xml:space="preserve"> como una buena práctica</w:t>
      </w:r>
    </w:p>
    <w:p w:rsidR="00D65BFA" w:rsidRPr="00D65BFA" w:rsidRDefault="00D65BFA" w:rsidP="00D4600E">
      <w:pPr>
        <w:tabs>
          <w:tab w:val="num" w:pos="1440"/>
        </w:tabs>
        <w:spacing w:after="40"/>
        <w:jc w:val="both"/>
        <w:rPr>
          <w:bCs/>
          <w:lang w:val="es-CR"/>
        </w:rPr>
      </w:pPr>
    </w:p>
    <w:p w:rsidR="00D4600E" w:rsidRPr="00D65BFA" w:rsidRDefault="00D4600E" w:rsidP="00D4600E">
      <w:pPr>
        <w:tabs>
          <w:tab w:val="num" w:pos="1440"/>
        </w:tabs>
        <w:jc w:val="both"/>
        <w:rPr>
          <w:b/>
          <w:bCs/>
          <w:lang w:val="es-CR"/>
        </w:rPr>
      </w:pPr>
      <w:r w:rsidRPr="00D65BFA">
        <w:rPr>
          <w:b/>
          <w:bCs/>
          <w:u w:val="single"/>
          <w:lang w:val="es-CR"/>
        </w:rPr>
        <w:t>Agencias del SNU participantes</w:t>
      </w:r>
      <w:r w:rsidRPr="00D65BFA">
        <w:rPr>
          <w:b/>
          <w:bCs/>
          <w:lang w:val="es-CR"/>
        </w:rPr>
        <w:t xml:space="preserve">: </w:t>
      </w:r>
      <w:r w:rsidRPr="00D65BFA">
        <w:rPr>
          <w:lang w:val="es-CR"/>
        </w:rPr>
        <w:t>OIM y UNFPA  (CR y Panamá); PNUD y UNICEF.</w:t>
      </w:r>
    </w:p>
    <w:p w:rsidR="00D4600E" w:rsidRPr="00D65BFA" w:rsidRDefault="00D4600E" w:rsidP="00D4600E">
      <w:pPr>
        <w:jc w:val="both"/>
        <w:rPr>
          <w:b/>
          <w:bCs/>
          <w:lang w:val="es-CR"/>
        </w:rPr>
      </w:pPr>
      <w:r w:rsidRPr="00D65BFA">
        <w:rPr>
          <w:b/>
          <w:bCs/>
          <w:u w:val="single"/>
          <w:lang w:val="es-CR"/>
        </w:rPr>
        <w:t>Instituciones participantes</w:t>
      </w:r>
      <w:r w:rsidRPr="00D65BFA">
        <w:rPr>
          <w:b/>
          <w:bCs/>
          <w:lang w:val="es-CR"/>
        </w:rPr>
        <w:t>:</w:t>
      </w:r>
    </w:p>
    <w:p w:rsidR="00D4600E" w:rsidRPr="00D65BFA" w:rsidRDefault="00D4600E" w:rsidP="00D4600E">
      <w:pPr>
        <w:jc w:val="both"/>
        <w:rPr>
          <w:bCs/>
          <w:u w:val="single"/>
          <w:lang w:val="es-CR"/>
        </w:rPr>
      </w:pPr>
      <w:r w:rsidRPr="00D65BFA">
        <w:rPr>
          <w:bCs/>
          <w:u w:val="single"/>
          <w:lang w:val="es-CR"/>
        </w:rPr>
        <w:t xml:space="preserve">Panamá; </w:t>
      </w:r>
      <w:r w:rsidRPr="00D65BFA">
        <w:rPr>
          <w:bCs/>
          <w:lang w:val="es-CR"/>
        </w:rPr>
        <w:t>MINSA, Defensoría del Pueblo, Autoridades locales de La Comarca, Servicio Nacional de Migración, M. de Trabajo y Desarrollo Laboral, M. de Desarrollo Agropecuario</w:t>
      </w:r>
    </w:p>
    <w:p w:rsidR="00D4600E" w:rsidRPr="00D65BFA" w:rsidRDefault="00D4600E" w:rsidP="00D4600E">
      <w:pPr>
        <w:jc w:val="both"/>
        <w:rPr>
          <w:bCs/>
          <w:lang w:val="es-CR"/>
        </w:rPr>
      </w:pPr>
      <w:r w:rsidRPr="00D65BFA">
        <w:rPr>
          <w:bCs/>
          <w:u w:val="single"/>
          <w:lang w:val="es-CR"/>
        </w:rPr>
        <w:t>Costa Rica</w:t>
      </w:r>
      <w:r w:rsidRPr="00D65BFA">
        <w:rPr>
          <w:u w:val="single"/>
          <w:lang w:val="es-CR"/>
        </w:rPr>
        <w:t>:</w:t>
      </w:r>
      <w:r w:rsidRPr="00D65BFA">
        <w:rPr>
          <w:lang w:val="es-CR"/>
        </w:rPr>
        <w:t xml:space="preserve"> MINSA</w:t>
      </w:r>
      <w:r w:rsidRPr="00D65BFA">
        <w:rPr>
          <w:bCs/>
          <w:lang w:val="es-CR"/>
        </w:rPr>
        <w:t xml:space="preserve">, CCSS, DGME, MTSS, MAG, DHR, PANI, IMAS, Poder Judicial, INAMU, MIDEPLAN, </w:t>
      </w:r>
      <w:proofErr w:type="spellStart"/>
      <w:r w:rsidRPr="00D65BFA">
        <w:rPr>
          <w:bCs/>
          <w:lang w:val="es-CR"/>
        </w:rPr>
        <w:t>Org</w:t>
      </w:r>
      <w:proofErr w:type="spellEnd"/>
      <w:r w:rsidRPr="00D65BFA">
        <w:rPr>
          <w:bCs/>
          <w:lang w:val="es-CR"/>
        </w:rPr>
        <w:t>. SC.</w:t>
      </w:r>
    </w:p>
    <w:p w:rsidR="00D4600E" w:rsidRPr="00D65BFA" w:rsidRDefault="00D4600E" w:rsidP="00D4600E">
      <w:pPr>
        <w:jc w:val="both"/>
        <w:rPr>
          <w:lang w:val="es-CR"/>
        </w:rPr>
      </w:pPr>
      <w:r w:rsidRPr="00D65BFA">
        <w:rPr>
          <w:b/>
          <w:u w:val="single"/>
          <w:lang w:val="es-CR"/>
        </w:rPr>
        <w:t>Personas beneficiarias</w:t>
      </w:r>
      <w:r w:rsidRPr="00D65BFA">
        <w:rPr>
          <w:b/>
          <w:lang w:val="es-CR"/>
        </w:rPr>
        <w:t xml:space="preserve">: </w:t>
      </w:r>
      <w:r w:rsidRPr="00D65BFA">
        <w:rPr>
          <w:lang w:val="es-CR"/>
        </w:rPr>
        <w:t xml:space="preserve">10,000 migrantes </w:t>
      </w:r>
      <w:proofErr w:type="spellStart"/>
      <w:r w:rsidRPr="00D65BFA">
        <w:rPr>
          <w:lang w:val="es-CR"/>
        </w:rPr>
        <w:t>Ngäbe</w:t>
      </w:r>
      <w:proofErr w:type="spellEnd"/>
      <w:r w:rsidRPr="00D65BFA">
        <w:rPr>
          <w:lang w:val="es-CR"/>
        </w:rPr>
        <w:t xml:space="preserve"> y </w:t>
      </w:r>
      <w:proofErr w:type="spellStart"/>
      <w:r w:rsidRPr="00D65BFA">
        <w:rPr>
          <w:lang w:val="es-CR"/>
        </w:rPr>
        <w:t>Buglé</w:t>
      </w:r>
      <w:proofErr w:type="spellEnd"/>
      <w:r w:rsidRPr="00D65BFA">
        <w:rPr>
          <w:lang w:val="es-CR"/>
        </w:rPr>
        <w:t xml:space="preserve"> ubicados(as) en toda la ruta migratoria que incluye la Comarca </w:t>
      </w:r>
      <w:proofErr w:type="spellStart"/>
      <w:r w:rsidRPr="00D65BFA">
        <w:rPr>
          <w:lang w:val="es-CR"/>
        </w:rPr>
        <w:t>Ngäbe</w:t>
      </w:r>
      <w:proofErr w:type="spellEnd"/>
      <w:r w:rsidRPr="00D65BFA">
        <w:rPr>
          <w:lang w:val="es-CR"/>
        </w:rPr>
        <w:t xml:space="preserve"> y </w:t>
      </w:r>
      <w:proofErr w:type="spellStart"/>
      <w:r w:rsidRPr="00D65BFA">
        <w:rPr>
          <w:lang w:val="es-CR"/>
        </w:rPr>
        <w:t>Buglé</w:t>
      </w:r>
      <w:proofErr w:type="spellEnd"/>
      <w:r w:rsidRPr="00D65BFA">
        <w:rPr>
          <w:lang w:val="es-CR"/>
        </w:rPr>
        <w:t xml:space="preserve"> en Panamá, Coto </w:t>
      </w:r>
      <w:proofErr w:type="spellStart"/>
      <w:r w:rsidRPr="00D65BFA">
        <w:rPr>
          <w:lang w:val="es-CR"/>
        </w:rPr>
        <w:t>Brus</w:t>
      </w:r>
      <w:proofErr w:type="spellEnd"/>
      <w:r w:rsidRPr="00D65BFA">
        <w:rPr>
          <w:lang w:val="es-CR"/>
        </w:rPr>
        <w:t>, Corredores, Los Santos y Sixaola al lado costarricense.</w:t>
      </w:r>
    </w:p>
    <w:p w:rsidR="00D4600E" w:rsidRPr="00D65BFA" w:rsidRDefault="00D4600E" w:rsidP="00D4600E">
      <w:pPr>
        <w:jc w:val="both"/>
        <w:rPr>
          <w:lang w:val="es-CR"/>
        </w:rPr>
      </w:pPr>
      <w:r w:rsidRPr="00D65BFA">
        <w:rPr>
          <w:b/>
          <w:u w:val="single"/>
          <w:lang w:val="es-CR"/>
        </w:rPr>
        <w:t>Duración del proyecto</w:t>
      </w:r>
      <w:r w:rsidRPr="00D65BFA">
        <w:rPr>
          <w:b/>
          <w:lang w:val="es-CR"/>
        </w:rPr>
        <w:t xml:space="preserve">: </w:t>
      </w:r>
      <w:r w:rsidRPr="00D65BFA">
        <w:rPr>
          <w:lang w:val="es-CR"/>
        </w:rPr>
        <w:t xml:space="preserve">01.05.2013 </w:t>
      </w:r>
      <w:proofErr w:type="gramStart"/>
      <w:r w:rsidRPr="00D65BFA">
        <w:rPr>
          <w:lang w:val="es-CR"/>
        </w:rPr>
        <w:t>al</w:t>
      </w:r>
      <w:proofErr w:type="gramEnd"/>
      <w:r w:rsidRPr="00D65BFA">
        <w:rPr>
          <w:lang w:val="es-CR"/>
        </w:rPr>
        <w:t xml:space="preserve"> 30.0</w:t>
      </w:r>
      <w:r w:rsidR="00D65BFA" w:rsidRPr="00D65BFA">
        <w:rPr>
          <w:lang w:val="es-CR"/>
        </w:rPr>
        <w:t>8</w:t>
      </w:r>
      <w:r w:rsidRPr="00D65BFA">
        <w:rPr>
          <w:lang w:val="es-CR"/>
        </w:rPr>
        <w:t>.2016 (3 años)</w:t>
      </w:r>
    </w:p>
    <w:p w:rsidR="00D4600E" w:rsidRDefault="00D4600E" w:rsidP="00D4600E">
      <w:pPr>
        <w:jc w:val="both"/>
        <w:rPr>
          <w:lang w:val="es-CR"/>
        </w:rPr>
      </w:pPr>
      <w:r w:rsidRPr="00D65BFA">
        <w:rPr>
          <w:b/>
          <w:bCs/>
          <w:u w:val="single"/>
          <w:lang w:val="es-CR"/>
        </w:rPr>
        <w:t>Presupuesto binacional</w:t>
      </w:r>
      <w:r w:rsidR="00D65BFA">
        <w:rPr>
          <w:b/>
          <w:bCs/>
          <w:u w:val="single"/>
          <w:lang w:val="es-CR"/>
        </w:rPr>
        <w:t xml:space="preserve"> total del proyecto</w:t>
      </w:r>
      <w:r w:rsidRPr="00D65BFA">
        <w:rPr>
          <w:b/>
          <w:bCs/>
          <w:lang w:val="es-CR"/>
        </w:rPr>
        <w:t>:</w:t>
      </w:r>
      <w:r w:rsidRPr="00D65BFA">
        <w:rPr>
          <w:lang w:val="es-CR"/>
        </w:rPr>
        <w:t xml:space="preserve"> $2.657.955 USD (UNTFHS)</w:t>
      </w:r>
    </w:p>
    <w:p w:rsidR="00D65BFA" w:rsidRPr="00D65BFA" w:rsidRDefault="00D65BFA" w:rsidP="00D4600E">
      <w:pPr>
        <w:jc w:val="both"/>
        <w:rPr>
          <w:b/>
          <w:lang w:val="es-CR"/>
        </w:rPr>
      </w:pPr>
      <w:r w:rsidRPr="00D65BFA">
        <w:rPr>
          <w:b/>
          <w:u w:val="single"/>
          <w:lang w:val="es-CR"/>
        </w:rPr>
        <w:t>Presupuesto asignado a oficina PNUD Costa Rica</w:t>
      </w:r>
      <w:r>
        <w:rPr>
          <w:b/>
          <w:u w:val="single"/>
          <w:lang w:val="es-CR"/>
        </w:rPr>
        <w:t xml:space="preserve">: </w:t>
      </w:r>
      <w:r w:rsidRPr="00D65BFA">
        <w:rPr>
          <w:lang w:val="es-CR"/>
        </w:rPr>
        <w:t>$2</w:t>
      </w:r>
      <w:r>
        <w:rPr>
          <w:lang w:val="es-CR"/>
        </w:rPr>
        <w:t>81.045,13</w:t>
      </w:r>
    </w:p>
    <w:p w:rsidR="00C012FD" w:rsidRPr="00D65BFA" w:rsidRDefault="00C012FD" w:rsidP="00C012FD">
      <w:pPr>
        <w:spacing w:after="0" w:line="240" w:lineRule="auto"/>
        <w:rPr>
          <w:rFonts w:eastAsia="Times New Roman" w:cs="Arial"/>
          <w:b/>
          <w:color w:val="000000"/>
          <w:lang w:val="es-ES_tradnl" w:eastAsia="es-CR"/>
        </w:rPr>
      </w:pPr>
    </w:p>
    <w:p w:rsidR="00C012FD" w:rsidRPr="00D65BFA" w:rsidRDefault="00C012FD" w:rsidP="00C012FD">
      <w:pPr>
        <w:pStyle w:val="NormalWeb"/>
        <w:shd w:val="clear" w:color="auto" w:fill="FFFFFF"/>
        <w:spacing w:before="0" w:beforeAutospacing="0" w:after="0" w:afterAutospacing="0"/>
        <w:jc w:val="both"/>
        <w:rPr>
          <w:rFonts w:asciiTheme="minorHAnsi" w:hAnsiTheme="minorHAnsi" w:cs="Arial"/>
          <w:b/>
          <w:color w:val="000000"/>
          <w:sz w:val="22"/>
          <w:szCs w:val="22"/>
          <w:u w:val="single"/>
          <w:lang w:val="es-ES_tradnl"/>
        </w:rPr>
      </w:pPr>
      <w:r w:rsidRPr="00D65BFA">
        <w:rPr>
          <w:rFonts w:asciiTheme="minorHAnsi" w:hAnsiTheme="minorHAnsi" w:cs="Arial"/>
          <w:b/>
          <w:color w:val="000000"/>
          <w:sz w:val="22"/>
          <w:szCs w:val="22"/>
          <w:u w:val="single"/>
          <w:lang w:val="es-ES_tradnl"/>
        </w:rPr>
        <w:t>Principales resultados y alcances del Programa Conjunto</w:t>
      </w:r>
    </w:p>
    <w:p w:rsidR="00C012FD" w:rsidRPr="00D65BFA" w:rsidRDefault="00C012FD" w:rsidP="00C012FD">
      <w:pPr>
        <w:pStyle w:val="NormalWeb"/>
        <w:shd w:val="clear" w:color="auto" w:fill="FFFFFF"/>
        <w:spacing w:before="0" w:beforeAutospacing="0" w:after="0" w:afterAutospacing="0"/>
        <w:jc w:val="both"/>
        <w:rPr>
          <w:rFonts w:asciiTheme="minorHAnsi" w:hAnsiTheme="minorHAnsi" w:cs="Arial"/>
          <w:b/>
          <w:color w:val="000000"/>
          <w:sz w:val="22"/>
          <w:szCs w:val="22"/>
          <w:lang w:val="es-ES_tradnl"/>
        </w:rPr>
      </w:pPr>
    </w:p>
    <w:p w:rsidR="00C012FD" w:rsidRPr="00D65BFA" w:rsidRDefault="00C012FD" w:rsidP="00C012FD">
      <w:pPr>
        <w:pStyle w:val="NormalWeb"/>
        <w:shd w:val="clear" w:color="auto" w:fill="FFFFFF"/>
        <w:spacing w:before="0" w:beforeAutospacing="0" w:after="0" w:afterAutospacing="0"/>
        <w:jc w:val="both"/>
        <w:rPr>
          <w:rFonts w:asciiTheme="minorHAnsi" w:hAnsiTheme="minorHAnsi" w:cs="Arial"/>
          <w:color w:val="000000"/>
          <w:sz w:val="22"/>
          <w:szCs w:val="22"/>
          <w:lang w:val="es-ES_tradnl"/>
        </w:rPr>
      </w:pPr>
      <w:r w:rsidRPr="00D65BFA">
        <w:rPr>
          <w:rFonts w:asciiTheme="minorHAnsi" w:hAnsiTheme="minorHAnsi" w:cs="Arial"/>
          <w:color w:val="000000"/>
          <w:sz w:val="22"/>
          <w:szCs w:val="22"/>
          <w:lang w:val="es-ES_tradnl"/>
        </w:rPr>
        <w:t>A la fecha los principales resultados y alcances del Programa Conjunto son los siguientes:</w:t>
      </w:r>
    </w:p>
    <w:p w:rsidR="00C012FD" w:rsidRPr="00D65BFA" w:rsidRDefault="00C012FD" w:rsidP="00C012FD">
      <w:pPr>
        <w:pStyle w:val="NormalWeb"/>
        <w:shd w:val="clear" w:color="auto" w:fill="FFFFFF"/>
        <w:spacing w:before="0" w:beforeAutospacing="0" w:after="0" w:afterAutospacing="0"/>
        <w:jc w:val="both"/>
        <w:rPr>
          <w:rFonts w:asciiTheme="minorHAnsi" w:hAnsiTheme="minorHAnsi" w:cs="Arial"/>
          <w:b/>
          <w:color w:val="000000"/>
          <w:sz w:val="22"/>
          <w:szCs w:val="22"/>
          <w:lang w:val="es-ES_tradnl"/>
        </w:rPr>
      </w:pPr>
    </w:p>
    <w:p w:rsidR="00C012FD" w:rsidRPr="00D65BFA" w:rsidRDefault="00C012FD" w:rsidP="00C012FD">
      <w:pPr>
        <w:pStyle w:val="Prrafodelista"/>
        <w:numPr>
          <w:ilvl w:val="0"/>
          <w:numId w:val="1"/>
        </w:numPr>
        <w:spacing w:after="0" w:line="240" w:lineRule="auto"/>
        <w:jc w:val="both"/>
        <w:textAlignment w:val="center"/>
        <w:rPr>
          <w:rFonts w:eastAsia="Times New Roman" w:cs="Arial"/>
          <w:lang w:val="es-CR" w:eastAsia="es-CR"/>
        </w:rPr>
      </w:pPr>
      <w:r w:rsidRPr="00D65BFA">
        <w:rPr>
          <w:rFonts w:eastAsia="Times New Roman" w:cs="Arial"/>
          <w:color w:val="000000"/>
          <w:kern w:val="24"/>
          <w:lang w:val="es-CR" w:eastAsia="es-CR"/>
        </w:rPr>
        <w:t xml:space="preserve">11.501 personas migrantes </w:t>
      </w:r>
      <w:proofErr w:type="spellStart"/>
      <w:r w:rsidRPr="00D65BFA">
        <w:rPr>
          <w:rFonts w:eastAsia="Times New Roman" w:cs="Arial"/>
          <w:color w:val="000000"/>
          <w:kern w:val="24"/>
          <w:lang w:val="es-CR" w:eastAsia="es-CR"/>
        </w:rPr>
        <w:t>ngäbe-buglé</w:t>
      </w:r>
      <w:proofErr w:type="spellEnd"/>
      <w:r w:rsidRPr="00D65BFA">
        <w:rPr>
          <w:rFonts w:eastAsia="Times New Roman" w:cs="Arial"/>
          <w:color w:val="000000"/>
          <w:kern w:val="24"/>
          <w:lang w:val="es-CR" w:eastAsia="es-CR"/>
        </w:rPr>
        <w:t xml:space="preserve"> empoderadas en el ejercicio y reclamo de sus derechos</w:t>
      </w:r>
    </w:p>
    <w:p w:rsidR="00C012FD" w:rsidRPr="00D65BFA" w:rsidRDefault="00C012FD" w:rsidP="00C012FD">
      <w:pPr>
        <w:pStyle w:val="Prrafodelista"/>
        <w:numPr>
          <w:ilvl w:val="0"/>
          <w:numId w:val="1"/>
        </w:numPr>
        <w:spacing w:after="0" w:line="240" w:lineRule="auto"/>
        <w:jc w:val="both"/>
        <w:textAlignment w:val="center"/>
        <w:rPr>
          <w:rFonts w:eastAsia="Times New Roman" w:cs="Arial"/>
          <w:lang w:val="es-CR" w:eastAsia="es-CR"/>
        </w:rPr>
      </w:pPr>
      <w:r w:rsidRPr="00D65BFA">
        <w:rPr>
          <w:rFonts w:eastAsia="Times New Roman" w:cs="Arial"/>
          <w:color w:val="000000"/>
          <w:kern w:val="24"/>
          <w:lang w:val="es-CR" w:eastAsia="es-CR"/>
        </w:rPr>
        <w:t>106  familias fortalecidas  en capacidades para una producción alimentaria autosuficiente y la comercialización de los excedentes, mediante la introducción de nuevas y/o mejores técnicas de producción de cultivos.</w:t>
      </w:r>
    </w:p>
    <w:p w:rsidR="00C012FD" w:rsidRPr="00D65BFA" w:rsidRDefault="00C012FD" w:rsidP="00C012FD">
      <w:pPr>
        <w:pStyle w:val="NormalWeb"/>
        <w:numPr>
          <w:ilvl w:val="0"/>
          <w:numId w:val="1"/>
        </w:numPr>
        <w:shd w:val="clear" w:color="auto" w:fill="FFFFFF"/>
        <w:jc w:val="both"/>
        <w:rPr>
          <w:rFonts w:asciiTheme="minorHAnsi" w:hAnsiTheme="minorHAnsi" w:cs="Arial"/>
          <w:color w:val="000000"/>
          <w:sz w:val="22"/>
          <w:szCs w:val="22"/>
        </w:rPr>
      </w:pPr>
      <w:r w:rsidRPr="00D65BFA">
        <w:rPr>
          <w:rFonts w:asciiTheme="minorHAnsi" w:hAnsiTheme="minorHAnsi" w:cs="Arial"/>
          <w:color w:val="000000"/>
          <w:sz w:val="22"/>
          <w:szCs w:val="22"/>
        </w:rPr>
        <w:t xml:space="preserve">Comunidades e instituciones de las regiones receptoras han mejorado su percepción de la población migrante, logrando un intercambio y reconocimiento cultural a través de diversas actividades,  como ferias de salud,  ferias de emprendimientos, entre otras acciones. </w:t>
      </w:r>
    </w:p>
    <w:p w:rsidR="00C012FD" w:rsidRPr="00D65BFA" w:rsidRDefault="00C012FD" w:rsidP="00C012FD">
      <w:pPr>
        <w:pStyle w:val="NormalWeb"/>
        <w:numPr>
          <w:ilvl w:val="0"/>
          <w:numId w:val="1"/>
        </w:numPr>
        <w:shd w:val="clear" w:color="auto" w:fill="FFFFFF"/>
        <w:jc w:val="both"/>
        <w:rPr>
          <w:rFonts w:asciiTheme="minorHAnsi" w:hAnsiTheme="minorHAnsi" w:cs="Arial"/>
          <w:color w:val="000000"/>
          <w:sz w:val="22"/>
          <w:szCs w:val="22"/>
        </w:rPr>
      </w:pPr>
      <w:r w:rsidRPr="00D65BFA">
        <w:rPr>
          <w:rFonts w:asciiTheme="minorHAnsi" w:hAnsiTheme="minorHAnsi" w:cs="Arial"/>
          <w:color w:val="000000"/>
          <w:sz w:val="22"/>
          <w:szCs w:val="22"/>
        </w:rPr>
        <w:t xml:space="preserve">Las instituciones locales están organizadas en redes, coordinando y brindando servicios con pertinencia cultural a la población indígena migrante: Comisión Interinstitucional para la Atención del Migrante (CIAM) en Los Santos, Comisión Regional Interinstitucional Indígena (CRII) en la Región </w:t>
      </w:r>
      <w:proofErr w:type="spellStart"/>
      <w:r w:rsidRPr="00D65BFA">
        <w:rPr>
          <w:rFonts w:asciiTheme="minorHAnsi" w:hAnsiTheme="minorHAnsi" w:cs="Arial"/>
          <w:color w:val="000000"/>
          <w:sz w:val="22"/>
          <w:szCs w:val="22"/>
        </w:rPr>
        <w:t>Brunca</w:t>
      </w:r>
      <w:proofErr w:type="spellEnd"/>
      <w:r w:rsidRPr="00D65BFA">
        <w:rPr>
          <w:rFonts w:asciiTheme="minorHAnsi" w:hAnsiTheme="minorHAnsi" w:cs="Arial"/>
          <w:color w:val="000000"/>
          <w:sz w:val="22"/>
          <w:szCs w:val="22"/>
        </w:rPr>
        <w:t xml:space="preserve"> y Red Interinstitucional de Atención Integral al Indígena Migrante (RIAIIM) en Sixaola.</w:t>
      </w:r>
    </w:p>
    <w:p w:rsidR="00C012FD" w:rsidRPr="00D65BFA" w:rsidRDefault="00C012FD" w:rsidP="00C012FD">
      <w:pPr>
        <w:pStyle w:val="NormalWeb"/>
        <w:numPr>
          <w:ilvl w:val="0"/>
          <w:numId w:val="1"/>
        </w:numPr>
        <w:shd w:val="clear" w:color="auto" w:fill="FFFFFF"/>
        <w:jc w:val="both"/>
        <w:rPr>
          <w:rFonts w:asciiTheme="minorHAnsi" w:hAnsiTheme="minorHAnsi" w:cs="Arial"/>
          <w:color w:val="000000"/>
          <w:sz w:val="22"/>
          <w:szCs w:val="22"/>
        </w:rPr>
      </w:pPr>
      <w:r w:rsidRPr="00D65BFA">
        <w:rPr>
          <w:rFonts w:asciiTheme="minorHAnsi" w:hAnsiTheme="minorHAnsi" w:cs="Arial"/>
          <w:color w:val="000000"/>
          <w:sz w:val="22"/>
          <w:szCs w:val="22"/>
        </w:rPr>
        <w:t>580 funcionarios y funcionarias públicos han sido sensibilizadas y capacitadas en interculturalidad y en derechos de población indígena migrante. Además, han sido fortalecidos con equipos móviles (por ejemplo, el sector salud) para que brinden los servicios en las fincas.</w:t>
      </w:r>
    </w:p>
    <w:p w:rsidR="00C012FD" w:rsidRPr="00D65BFA" w:rsidRDefault="00C012FD" w:rsidP="00C012FD">
      <w:pPr>
        <w:pStyle w:val="NormalWeb"/>
        <w:numPr>
          <w:ilvl w:val="0"/>
          <w:numId w:val="1"/>
        </w:numPr>
        <w:shd w:val="clear" w:color="auto" w:fill="FFFFFF"/>
        <w:jc w:val="both"/>
        <w:rPr>
          <w:rFonts w:asciiTheme="minorHAnsi" w:hAnsiTheme="minorHAnsi" w:cs="Arial"/>
          <w:color w:val="000000"/>
          <w:sz w:val="22"/>
          <w:szCs w:val="22"/>
        </w:rPr>
      </w:pPr>
      <w:r w:rsidRPr="00D65BFA">
        <w:rPr>
          <w:rFonts w:asciiTheme="minorHAnsi" w:hAnsiTheme="minorHAnsi" w:cs="Arial"/>
          <w:color w:val="000000"/>
          <w:sz w:val="22"/>
          <w:szCs w:val="22"/>
        </w:rPr>
        <w:t xml:space="preserve">Cuatro Centros de Orientación Indígena (COI) han sido creados y se encuentran funcionado facilitando información en la lengua </w:t>
      </w:r>
      <w:proofErr w:type="spellStart"/>
      <w:r w:rsidRPr="00D65BFA">
        <w:rPr>
          <w:rFonts w:asciiTheme="minorHAnsi" w:hAnsiTheme="minorHAnsi" w:cs="Arial"/>
          <w:color w:val="000000"/>
          <w:sz w:val="22"/>
          <w:szCs w:val="22"/>
        </w:rPr>
        <w:t>ngäbere</w:t>
      </w:r>
      <w:proofErr w:type="spellEnd"/>
      <w:r w:rsidRPr="00D65BFA">
        <w:rPr>
          <w:rFonts w:asciiTheme="minorHAnsi" w:hAnsiTheme="minorHAnsi" w:cs="Arial"/>
          <w:color w:val="000000"/>
          <w:sz w:val="22"/>
          <w:szCs w:val="22"/>
        </w:rPr>
        <w:t xml:space="preserve"> sobre derechos de la población indígena, servicios a los que tiene derecho y su acceso, y promoviendo acciones que garanticen acceso a servicios en finca a la población (migra</w:t>
      </w:r>
      <w:r w:rsidR="005D3BCA">
        <w:rPr>
          <w:rFonts w:asciiTheme="minorHAnsi" w:hAnsiTheme="minorHAnsi" w:cs="Arial"/>
          <w:color w:val="000000"/>
          <w:sz w:val="22"/>
          <w:szCs w:val="22"/>
        </w:rPr>
        <w:t xml:space="preserve"> </w:t>
      </w:r>
      <w:r w:rsidRPr="00D65BFA">
        <w:rPr>
          <w:rFonts w:asciiTheme="minorHAnsi" w:hAnsiTheme="minorHAnsi" w:cs="Arial"/>
          <w:color w:val="000000"/>
          <w:sz w:val="22"/>
          <w:szCs w:val="22"/>
        </w:rPr>
        <w:t>m</w:t>
      </w:r>
      <w:r w:rsidR="005D3BCA">
        <w:rPr>
          <w:rFonts w:asciiTheme="minorHAnsi" w:hAnsiTheme="minorHAnsi" w:cs="Arial"/>
          <w:color w:val="000000"/>
          <w:sz w:val="22"/>
          <w:szCs w:val="22"/>
        </w:rPr>
        <w:t>ó</w:t>
      </w:r>
      <w:r w:rsidRPr="00D65BFA">
        <w:rPr>
          <w:rFonts w:asciiTheme="minorHAnsi" w:hAnsiTheme="minorHAnsi" w:cs="Arial"/>
          <w:color w:val="000000"/>
          <w:sz w:val="22"/>
          <w:szCs w:val="22"/>
        </w:rPr>
        <w:t xml:space="preserve">vil, salud, entre otros) </w:t>
      </w:r>
    </w:p>
    <w:p w:rsidR="00C012FD" w:rsidRPr="00D65BFA" w:rsidRDefault="00C012FD" w:rsidP="00C012FD">
      <w:pPr>
        <w:pStyle w:val="NormalWeb"/>
        <w:numPr>
          <w:ilvl w:val="0"/>
          <w:numId w:val="1"/>
        </w:numPr>
        <w:shd w:val="clear" w:color="auto" w:fill="FFFFFF"/>
        <w:jc w:val="both"/>
        <w:rPr>
          <w:rFonts w:asciiTheme="minorHAnsi" w:hAnsiTheme="minorHAnsi" w:cs="Arial"/>
          <w:color w:val="000000"/>
          <w:sz w:val="22"/>
          <w:szCs w:val="22"/>
        </w:rPr>
      </w:pPr>
      <w:r w:rsidRPr="00D65BFA">
        <w:rPr>
          <w:rFonts w:asciiTheme="minorHAnsi" w:hAnsiTheme="minorHAnsi" w:cs="Arial"/>
          <w:color w:val="000000"/>
          <w:sz w:val="22"/>
          <w:szCs w:val="22"/>
        </w:rPr>
        <w:lastRenderedPageBreak/>
        <w:t>Cerca de 87 multiplicadores y asesores/as culturales</w:t>
      </w:r>
      <w:r w:rsidRPr="00D65BFA">
        <w:rPr>
          <w:rFonts w:asciiTheme="minorHAnsi" w:hAnsiTheme="minorHAnsi" w:cs="Arial"/>
          <w:color w:val="000000"/>
          <w:sz w:val="22"/>
          <w:szCs w:val="22"/>
          <w:vertAlign w:val="superscript"/>
        </w:rPr>
        <w:t xml:space="preserve"> </w:t>
      </w:r>
      <w:r w:rsidRPr="00D65BFA">
        <w:rPr>
          <w:rFonts w:asciiTheme="minorHAnsi" w:hAnsiTheme="minorHAnsi" w:cs="Arial"/>
          <w:color w:val="000000"/>
          <w:sz w:val="22"/>
          <w:szCs w:val="22"/>
        </w:rPr>
        <w:t xml:space="preserve">brindan información con pertinencia cultural, sobre servicios, deberes y derechos a las personas migrantes a lo largo de la ruta migratoria </w:t>
      </w:r>
    </w:p>
    <w:p w:rsidR="00C012FD" w:rsidRPr="00D65BFA" w:rsidRDefault="00C012FD" w:rsidP="00C012FD">
      <w:pPr>
        <w:pStyle w:val="NormalWeb"/>
        <w:numPr>
          <w:ilvl w:val="0"/>
          <w:numId w:val="1"/>
        </w:numPr>
        <w:shd w:val="clear" w:color="auto" w:fill="FFFFFF"/>
        <w:jc w:val="both"/>
        <w:rPr>
          <w:rFonts w:asciiTheme="minorHAnsi" w:hAnsiTheme="minorHAnsi" w:cs="Arial"/>
          <w:color w:val="000000"/>
          <w:sz w:val="22"/>
          <w:szCs w:val="22"/>
        </w:rPr>
      </w:pPr>
      <w:r w:rsidRPr="00D65BFA">
        <w:rPr>
          <w:rFonts w:asciiTheme="minorHAnsi" w:hAnsiTheme="minorHAnsi" w:cs="Arial"/>
          <w:color w:val="000000"/>
          <w:sz w:val="22"/>
          <w:szCs w:val="22"/>
        </w:rPr>
        <w:t xml:space="preserve">Cerca de 30 mil unidades de material de capacitación e información con adecuación cultural y en lengua </w:t>
      </w:r>
      <w:proofErr w:type="spellStart"/>
      <w:r w:rsidRPr="00D65BFA">
        <w:rPr>
          <w:rFonts w:asciiTheme="minorHAnsi" w:hAnsiTheme="minorHAnsi" w:cs="Arial"/>
          <w:color w:val="000000"/>
          <w:sz w:val="22"/>
          <w:szCs w:val="22"/>
        </w:rPr>
        <w:t>Ngäbere</w:t>
      </w:r>
      <w:proofErr w:type="spellEnd"/>
      <w:r w:rsidRPr="00D65BFA">
        <w:rPr>
          <w:rFonts w:asciiTheme="minorHAnsi" w:hAnsiTheme="minorHAnsi" w:cs="Arial"/>
          <w:color w:val="000000"/>
          <w:sz w:val="22"/>
          <w:szCs w:val="22"/>
        </w:rPr>
        <w:t xml:space="preserve"> se han elaborado (manuales, hojas y lonas informativas, videos animados, folletos y </w:t>
      </w:r>
      <w:proofErr w:type="spellStart"/>
      <w:r w:rsidRPr="00D65BFA">
        <w:rPr>
          <w:rFonts w:asciiTheme="minorHAnsi" w:hAnsiTheme="minorHAnsi" w:cs="Arial"/>
          <w:color w:val="000000"/>
          <w:sz w:val="22"/>
          <w:szCs w:val="22"/>
        </w:rPr>
        <w:t>rotafolios</w:t>
      </w:r>
      <w:proofErr w:type="spellEnd"/>
      <w:r w:rsidRPr="00D65BFA">
        <w:rPr>
          <w:rFonts w:asciiTheme="minorHAnsi" w:hAnsiTheme="minorHAnsi" w:cs="Arial"/>
          <w:color w:val="000000"/>
          <w:sz w:val="22"/>
          <w:szCs w:val="22"/>
        </w:rPr>
        <w:t>)</w:t>
      </w:r>
    </w:p>
    <w:p w:rsidR="00C012FD" w:rsidRPr="00D65BFA" w:rsidRDefault="00C012FD" w:rsidP="00C012FD">
      <w:pPr>
        <w:pStyle w:val="NormalWeb"/>
        <w:numPr>
          <w:ilvl w:val="0"/>
          <w:numId w:val="1"/>
        </w:numPr>
        <w:shd w:val="clear" w:color="auto" w:fill="FFFFFF"/>
        <w:jc w:val="both"/>
        <w:rPr>
          <w:rFonts w:asciiTheme="minorHAnsi" w:hAnsiTheme="minorHAnsi" w:cs="Arial"/>
          <w:color w:val="000000"/>
          <w:sz w:val="22"/>
          <w:szCs w:val="22"/>
        </w:rPr>
      </w:pPr>
      <w:r w:rsidRPr="00D65BFA">
        <w:rPr>
          <w:rFonts w:asciiTheme="minorHAnsi" w:hAnsiTheme="minorHAnsi" w:cs="Arial"/>
          <w:color w:val="000000"/>
          <w:sz w:val="22"/>
          <w:szCs w:val="22"/>
        </w:rPr>
        <w:t xml:space="preserve">Seis centros de cuido (“Casas de la Alegría”), atendido por mujeres </w:t>
      </w:r>
      <w:proofErr w:type="spellStart"/>
      <w:r w:rsidRPr="00D65BFA">
        <w:rPr>
          <w:rFonts w:asciiTheme="minorHAnsi" w:hAnsiTheme="minorHAnsi" w:cs="Arial"/>
          <w:color w:val="000000"/>
          <w:sz w:val="22"/>
          <w:szCs w:val="22"/>
        </w:rPr>
        <w:t>Ngäbes</w:t>
      </w:r>
      <w:proofErr w:type="spellEnd"/>
      <w:r w:rsidRPr="00D65BFA">
        <w:rPr>
          <w:rFonts w:asciiTheme="minorHAnsi" w:hAnsiTheme="minorHAnsi" w:cs="Arial"/>
          <w:color w:val="000000"/>
          <w:sz w:val="22"/>
          <w:szCs w:val="22"/>
        </w:rPr>
        <w:t xml:space="preserve"> se encuentran operando en fincas cafetaleras para la atención de niñas y niños menores de nueve años mientras sus padres recolectan el café. </w:t>
      </w:r>
    </w:p>
    <w:p w:rsidR="00C012FD" w:rsidRPr="00D65BFA" w:rsidRDefault="00C012FD" w:rsidP="00C012FD">
      <w:pPr>
        <w:pStyle w:val="Prrafodelista"/>
        <w:numPr>
          <w:ilvl w:val="0"/>
          <w:numId w:val="1"/>
        </w:numPr>
        <w:spacing w:after="0" w:line="240" w:lineRule="auto"/>
        <w:jc w:val="both"/>
        <w:textAlignment w:val="center"/>
        <w:rPr>
          <w:rFonts w:eastAsia="Times New Roman" w:cs="Arial"/>
          <w:lang w:val="es-CR" w:eastAsia="es-CR"/>
        </w:rPr>
      </w:pPr>
      <w:r w:rsidRPr="00D65BFA">
        <w:rPr>
          <w:rFonts w:eastAsia="Times New Roman" w:cs="Arial"/>
          <w:lang w:val="es-CR" w:eastAsia="es-CR"/>
        </w:rPr>
        <w:t xml:space="preserve">95 dueños de fincas cafetaleras han sido sensibilizados y capacitados en tópicos relacionados al cuido y desarrollo de niños, trabajo infantil, </w:t>
      </w:r>
      <w:proofErr w:type="spellStart"/>
      <w:r w:rsidRPr="00D65BFA">
        <w:rPr>
          <w:rFonts w:eastAsia="Times New Roman" w:cs="Arial"/>
          <w:lang w:val="es-CR" w:eastAsia="es-CR"/>
        </w:rPr>
        <w:t>comovisión</w:t>
      </w:r>
      <w:proofErr w:type="spellEnd"/>
      <w:r w:rsidRPr="00D65BFA">
        <w:rPr>
          <w:rFonts w:eastAsia="Times New Roman" w:cs="Arial"/>
          <w:lang w:val="es-CR" w:eastAsia="es-CR"/>
        </w:rPr>
        <w:t xml:space="preserve"> </w:t>
      </w:r>
      <w:proofErr w:type="spellStart"/>
      <w:r w:rsidRPr="00D65BFA">
        <w:rPr>
          <w:rFonts w:eastAsia="Times New Roman" w:cs="Arial"/>
          <w:lang w:val="es-CR" w:eastAsia="es-CR"/>
        </w:rPr>
        <w:t>ngäbe-buglé</w:t>
      </w:r>
      <w:proofErr w:type="spellEnd"/>
      <w:r w:rsidRPr="00D65BFA">
        <w:rPr>
          <w:rFonts w:eastAsia="Times New Roman" w:cs="Arial"/>
          <w:lang w:val="es-CR" w:eastAsia="es-CR"/>
        </w:rPr>
        <w:t xml:space="preserve"> y sobre los derechos laborales de la población indígena migrante. </w:t>
      </w:r>
    </w:p>
    <w:p w:rsidR="00C012FD" w:rsidRPr="00D65BFA" w:rsidRDefault="00C012FD" w:rsidP="00C012FD">
      <w:pPr>
        <w:pStyle w:val="NormalWeb"/>
        <w:shd w:val="clear" w:color="auto" w:fill="FFFFFF"/>
        <w:spacing w:before="0" w:beforeAutospacing="0" w:after="0" w:afterAutospacing="0"/>
        <w:ind w:left="720"/>
        <w:jc w:val="both"/>
        <w:rPr>
          <w:rFonts w:asciiTheme="minorHAnsi" w:hAnsiTheme="minorHAnsi" w:cs="Arial"/>
          <w:b/>
          <w:color w:val="000000"/>
          <w:sz w:val="22"/>
          <w:szCs w:val="22"/>
        </w:rPr>
      </w:pPr>
    </w:p>
    <w:p w:rsidR="00D65BFA" w:rsidRPr="00D65BFA" w:rsidRDefault="00C012FD" w:rsidP="00C012FD">
      <w:pPr>
        <w:rPr>
          <w:b/>
          <w:lang w:val="es-CR"/>
        </w:rPr>
      </w:pPr>
      <w:r w:rsidRPr="00D65BFA">
        <w:rPr>
          <w:b/>
          <w:lang w:val="es-CR"/>
        </w:rPr>
        <w:t xml:space="preserve">Resultados específicos </w:t>
      </w:r>
      <w:r w:rsidR="00D65BFA">
        <w:rPr>
          <w:b/>
          <w:lang w:val="es-CR"/>
        </w:rPr>
        <w:t>alcanzados por</w:t>
      </w:r>
      <w:r w:rsidRPr="00D65BFA">
        <w:rPr>
          <w:b/>
          <w:lang w:val="es-CR"/>
        </w:rPr>
        <w:t xml:space="preserve"> PNUD para el Programa Conjunto </w:t>
      </w:r>
    </w:p>
    <w:p w:rsidR="00C012FD" w:rsidRPr="00D65BFA" w:rsidRDefault="00C012FD" w:rsidP="00C012FD">
      <w:pPr>
        <w:rPr>
          <w:b/>
          <w:bCs/>
          <w:color w:val="000000"/>
          <w:lang w:val="es-CR"/>
        </w:rPr>
      </w:pPr>
      <w:r w:rsidRPr="00D65BFA">
        <w:rPr>
          <w:b/>
          <w:bCs/>
          <w:color w:val="000000"/>
          <w:lang w:val="es-CR"/>
        </w:rPr>
        <w:t xml:space="preserve">Producto (output) 1: Seguridad laboral de la población </w:t>
      </w:r>
      <w:proofErr w:type="spellStart"/>
      <w:r w:rsidRPr="00D65BFA">
        <w:rPr>
          <w:b/>
          <w:bCs/>
          <w:color w:val="000000"/>
          <w:lang w:val="es-CR"/>
        </w:rPr>
        <w:t>Ngäbe</w:t>
      </w:r>
      <w:proofErr w:type="spellEnd"/>
      <w:r w:rsidRPr="00D65BFA">
        <w:rPr>
          <w:b/>
          <w:bCs/>
          <w:color w:val="000000"/>
          <w:lang w:val="es-CR"/>
        </w:rPr>
        <w:t xml:space="preserve"> y </w:t>
      </w:r>
      <w:proofErr w:type="spellStart"/>
      <w:r w:rsidRPr="00D65BFA">
        <w:rPr>
          <w:b/>
          <w:bCs/>
          <w:color w:val="000000"/>
          <w:lang w:val="es-CR"/>
        </w:rPr>
        <w:t>Buglé</w:t>
      </w:r>
      <w:proofErr w:type="spellEnd"/>
      <w:r w:rsidRPr="00D65BFA">
        <w:rPr>
          <w:b/>
          <w:bCs/>
          <w:color w:val="000000"/>
          <w:lang w:val="es-CR"/>
        </w:rPr>
        <w:t xml:space="preserve"> migrante temporal mejorada</w:t>
      </w:r>
    </w:p>
    <w:p w:rsidR="00C012FD" w:rsidRPr="00D65BFA" w:rsidRDefault="00C012FD" w:rsidP="00C012FD">
      <w:pPr>
        <w:pStyle w:val="Sinespaciado"/>
        <w:numPr>
          <w:ilvl w:val="0"/>
          <w:numId w:val="4"/>
        </w:numPr>
        <w:overflowPunct w:val="0"/>
        <w:autoSpaceDE w:val="0"/>
        <w:autoSpaceDN w:val="0"/>
        <w:adjustRightInd w:val="0"/>
        <w:spacing w:line="276" w:lineRule="auto"/>
        <w:jc w:val="both"/>
        <w:textAlignment w:val="baseline"/>
        <w:rPr>
          <w:sz w:val="22"/>
          <w:szCs w:val="22"/>
          <w:lang w:val="es-ES_tradnl"/>
        </w:rPr>
      </w:pPr>
      <w:r w:rsidRPr="00D65BFA">
        <w:rPr>
          <w:sz w:val="22"/>
          <w:szCs w:val="22"/>
          <w:lang w:val="es-ES_tradnl"/>
        </w:rPr>
        <w:t xml:space="preserve">Elaboración de un diagnóstico y análisis de la cadena de producción de café en Los Santos y Coto </w:t>
      </w:r>
      <w:proofErr w:type="spellStart"/>
      <w:r w:rsidRPr="00D65BFA">
        <w:rPr>
          <w:sz w:val="22"/>
          <w:szCs w:val="22"/>
          <w:lang w:val="es-ES_tradnl"/>
        </w:rPr>
        <w:t>Brus</w:t>
      </w:r>
      <w:proofErr w:type="spellEnd"/>
      <w:r w:rsidRPr="00D65BFA">
        <w:rPr>
          <w:sz w:val="22"/>
          <w:szCs w:val="22"/>
          <w:lang w:val="es-ES_tradnl"/>
        </w:rPr>
        <w:t xml:space="preserve"> </w:t>
      </w:r>
    </w:p>
    <w:p w:rsidR="00C012FD" w:rsidRPr="00D65BFA" w:rsidRDefault="00C012FD" w:rsidP="00C012FD">
      <w:pPr>
        <w:pStyle w:val="Sinespaciado"/>
        <w:numPr>
          <w:ilvl w:val="0"/>
          <w:numId w:val="4"/>
        </w:numPr>
        <w:overflowPunct w:val="0"/>
        <w:autoSpaceDE w:val="0"/>
        <w:autoSpaceDN w:val="0"/>
        <w:adjustRightInd w:val="0"/>
        <w:spacing w:line="276" w:lineRule="auto"/>
        <w:jc w:val="both"/>
        <w:textAlignment w:val="baseline"/>
        <w:rPr>
          <w:sz w:val="22"/>
          <w:szCs w:val="22"/>
          <w:lang w:val="es-ES_tradnl"/>
        </w:rPr>
      </w:pPr>
      <w:r w:rsidRPr="00D65BFA">
        <w:rPr>
          <w:sz w:val="22"/>
          <w:szCs w:val="22"/>
          <w:lang w:val="es-ES_tradnl"/>
        </w:rPr>
        <w:t>Mapeo de partes interesadas y análisis de viabilidad de promover sistemas de certificación de buenas prácticas laborales en el sector cafetalero costarricense</w:t>
      </w:r>
    </w:p>
    <w:p w:rsidR="00C012FD" w:rsidRPr="00D65BFA" w:rsidRDefault="00C012FD" w:rsidP="00C012FD">
      <w:pPr>
        <w:pStyle w:val="Prrafodelista"/>
        <w:numPr>
          <w:ilvl w:val="0"/>
          <w:numId w:val="4"/>
        </w:numPr>
        <w:jc w:val="both"/>
        <w:rPr>
          <w:lang w:val="es-ES_tradnl"/>
        </w:rPr>
      </w:pPr>
      <w:r w:rsidRPr="00D65BFA">
        <w:rPr>
          <w:lang w:val="es-CR"/>
        </w:rPr>
        <w:t xml:space="preserve">Desarrollo de un Protocolo de sostenibilidad y buenas prácticas en la relación Productor-Recolector del sector Cafetalero en Costa Rica cuyo objetivo es </w:t>
      </w:r>
      <w:r w:rsidRPr="00D65BFA">
        <w:rPr>
          <w:rFonts w:cs="Arial"/>
          <w:lang w:val="es-MX"/>
        </w:rPr>
        <w:t xml:space="preserve">implementar mecanismos sectoriales de auto-regulación y rendición de cuentas sobre la responsabilidad del sector cafetalero costarricense con la sociedad y el medio ambiente. El Protocolo aborda tres ejes temáticos: </w:t>
      </w:r>
      <w:r w:rsidRPr="00D65BFA">
        <w:rPr>
          <w:lang w:val="es-CR"/>
        </w:rPr>
        <w:t xml:space="preserve">derechos humanos, prácticas laborales y ambiente. Para su desarrollo se realizaron 2 Talleres con representantes del sector cafetalero (20 participantes en cada taller) así como reuniones con representantes del ICAFE. </w:t>
      </w:r>
    </w:p>
    <w:p w:rsidR="00C012FD" w:rsidRPr="00D65BFA" w:rsidRDefault="00C012FD" w:rsidP="00C012FD">
      <w:pPr>
        <w:pStyle w:val="Prrafodelista"/>
        <w:numPr>
          <w:ilvl w:val="0"/>
          <w:numId w:val="4"/>
        </w:numPr>
        <w:jc w:val="both"/>
        <w:rPr>
          <w:lang w:val="es-ES_tradnl"/>
        </w:rPr>
      </w:pPr>
      <w:r w:rsidRPr="00D65BFA">
        <w:rPr>
          <w:rFonts w:eastAsia="Times New Roman" w:cs="Arial"/>
          <w:lang w:val="es-CR" w:eastAsia="es-CR"/>
        </w:rPr>
        <w:t xml:space="preserve">95 dueños de fincas cafetaleras han sido sensibilizados y capacitados en tópicos relacionados al cuido y desarrollo de niños, trabajo infantil, </w:t>
      </w:r>
      <w:proofErr w:type="spellStart"/>
      <w:r w:rsidRPr="00D65BFA">
        <w:rPr>
          <w:rFonts w:eastAsia="Times New Roman" w:cs="Arial"/>
          <w:lang w:val="es-CR" w:eastAsia="es-CR"/>
        </w:rPr>
        <w:t>comovisión</w:t>
      </w:r>
      <w:proofErr w:type="spellEnd"/>
      <w:r w:rsidRPr="00D65BFA">
        <w:rPr>
          <w:rFonts w:eastAsia="Times New Roman" w:cs="Arial"/>
          <w:lang w:val="es-CR" w:eastAsia="es-CR"/>
        </w:rPr>
        <w:t xml:space="preserve"> </w:t>
      </w:r>
      <w:proofErr w:type="spellStart"/>
      <w:r w:rsidRPr="00D65BFA">
        <w:rPr>
          <w:rFonts w:eastAsia="Times New Roman" w:cs="Arial"/>
          <w:lang w:val="es-CR" w:eastAsia="es-CR"/>
        </w:rPr>
        <w:t>ngäbe-buglé</w:t>
      </w:r>
      <w:proofErr w:type="spellEnd"/>
      <w:r w:rsidRPr="00D65BFA">
        <w:rPr>
          <w:rFonts w:eastAsia="Times New Roman" w:cs="Arial"/>
          <w:lang w:val="es-CR" w:eastAsia="es-CR"/>
        </w:rPr>
        <w:t xml:space="preserve"> y sobre los derechos laborales de la población indígena migrante</w:t>
      </w:r>
    </w:p>
    <w:p w:rsidR="00C012FD" w:rsidRPr="00D65BFA" w:rsidRDefault="00C012FD" w:rsidP="00C012FD">
      <w:pPr>
        <w:ind w:left="360"/>
        <w:jc w:val="both"/>
        <w:rPr>
          <w:b/>
          <w:bCs/>
          <w:color w:val="000000"/>
          <w:lang w:val="es-CR"/>
        </w:rPr>
      </w:pPr>
      <w:r w:rsidRPr="00D65BFA">
        <w:rPr>
          <w:b/>
          <w:bCs/>
          <w:color w:val="000000"/>
          <w:lang w:val="es-CR"/>
        </w:rPr>
        <w:t xml:space="preserve">Producto (output) 2: Marco institucional y político para la protección del bienestar y la seguridad humana de la población migrante </w:t>
      </w:r>
      <w:proofErr w:type="spellStart"/>
      <w:r w:rsidRPr="00D65BFA">
        <w:rPr>
          <w:b/>
          <w:bCs/>
          <w:color w:val="000000"/>
          <w:lang w:val="es-CR"/>
        </w:rPr>
        <w:t>Ngäbe</w:t>
      </w:r>
      <w:proofErr w:type="spellEnd"/>
      <w:r w:rsidRPr="00D65BFA">
        <w:rPr>
          <w:b/>
          <w:bCs/>
          <w:color w:val="000000"/>
          <w:lang w:val="es-CR"/>
        </w:rPr>
        <w:t xml:space="preserve"> y </w:t>
      </w:r>
      <w:proofErr w:type="spellStart"/>
      <w:r w:rsidRPr="00D65BFA">
        <w:rPr>
          <w:b/>
          <w:bCs/>
          <w:color w:val="000000"/>
          <w:lang w:val="es-CR"/>
        </w:rPr>
        <w:t>Buglé</w:t>
      </w:r>
      <w:proofErr w:type="spellEnd"/>
      <w:r w:rsidRPr="00D65BFA">
        <w:rPr>
          <w:b/>
          <w:bCs/>
          <w:color w:val="000000"/>
          <w:lang w:val="es-CR"/>
        </w:rPr>
        <w:t xml:space="preserve"> promovido</w:t>
      </w:r>
    </w:p>
    <w:p w:rsidR="00C012FD" w:rsidRPr="00D65BFA" w:rsidRDefault="00C012FD" w:rsidP="00C012FD">
      <w:pPr>
        <w:pStyle w:val="Prrafodelista"/>
        <w:numPr>
          <w:ilvl w:val="0"/>
          <w:numId w:val="2"/>
        </w:numPr>
        <w:spacing w:before="200" w:after="0" w:line="240" w:lineRule="auto"/>
        <w:jc w:val="both"/>
        <w:rPr>
          <w:lang w:val="es-CR"/>
        </w:rPr>
      </w:pPr>
      <w:r w:rsidRPr="00D65BFA">
        <w:rPr>
          <w:lang w:val="es-CR"/>
        </w:rPr>
        <w:t xml:space="preserve">Implementación de 4 Talleres interinstitucionales (22 de julio, 20 agosto, 13 de octubre, 16 de diciembre) dirigidos a mejorar la coordinación (bilateral, nacional, local) para el mejoramiento de la seguridad humana de la población migrante </w:t>
      </w:r>
      <w:proofErr w:type="spellStart"/>
      <w:r w:rsidRPr="00D65BFA">
        <w:rPr>
          <w:lang w:val="es-CR"/>
        </w:rPr>
        <w:t>Ngabe</w:t>
      </w:r>
      <w:proofErr w:type="spellEnd"/>
      <w:r w:rsidRPr="00D65BFA">
        <w:rPr>
          <w:lang w:val="es-CR"/>
        </w:rPr>
        <w:t xml:space="preserve"> y </w:t>
      </w:r>
      <w:proofErr w:type="spellStart"/>
      <w:r w:rsidRPr="00D65BFA">
        <w:rPr>
          <w:lang w:val="es-CR"/>
        </w:rPr>
        <w:t>Buglé</w:t>
      </w:r>
      <w:proofErr w:type="spellEnd"/>
      <w:r w:rsidRPr="00D65BFA">
        <w:rPr>
          <w:lang w:val="es-CR"/>
        </w:rPr>
        <w:t>. Los talleres incluyeron: la identificación de fortalezas - logros, retos y perspectivas derivadas de la ejecución del proyecto en cada región de influencia; aspectos identificados para su  fortalecimiento según actores; mecanismos de coordinación y necesidades en este ámbito y el desarrollo de una ruta de acciones clave de sostenibilidad.</w:t>
      </w:r>
    </w:p>
    <w:p w:rsidR="00C012FD" w:rsidRPr="00D65BFA" w:rsidRDefault="00C012FD" w:rsidP="00C012FD">
      <w:pPr>
        <w:pStyle w:val="Prrafodelista"/>
        <w:numPr>
          <w:ilvl w:val="0"/>
          <w:numId w:val="2"/>
        </w:numPr>
        <w:jc w:val="both"/>
        <w:rPr>
          <w:lang w:val="es-CR"/>
        </w:rPr>
      </w:pPr>
      <w:r w:rsidRPr="00D65BFA">
        <w:rPr>
          <w:lang w:val="es-CR"/>
        </w:rPr>
        <w:t xml:space="preserve">Elaboración de un análisis del marco normativo institucional </w:t>
      </w:r>
      <w:r w:rsidRPr="00D65BFA">
        <w:rPr>
          <w:rFonts w:cstheme="minorHAnsi"/>
          <w:noProof/>
          <w:lang w:val="es-ES_tradnl"/>
        </w:rPr>
        <w:t xml:space="preserve">para mejorar la Seguridad Humana de los migrantes temporales </w:t>
      </w:r>
      <w:proofErr w:type="spellStart"/>
      <w:r w:rsidRPr="00D65BFA">
        <w:rPr>
          <w:rFonts w:cstheme="minorHAnsi"/>
          <w:lang w:val="es-ES_tradnl"/>
        </w:rPr>
        <w:t>Ngäbe</w:t>
      </w:r>
      <w:proofErr w:type="spellEnd"/>
      <w:r w:rsidRPr="00D65BFA">
        <w:rPr>
          <w:rFonts w:cstheme="minorHAnsi"/>
          <w:lang w:val="es-ES_tradnl"/>
        </w:rPr>
        <w:t xml:space="preserve"> y </w:t>
      </w:r>
      <w:proofErr w:type="spellStart"/>
      <w:r w:rsidRPr="00D65BFA">
        <w:rPr>
          <w:rFonts w:cstheme="minorHAnsi"/>
          <w:lang w:val="es-ES_tradnl"/>
        </w:rPr>
        <w:t>Buglé</w:t>
      </w:r>
      <w:proofErr w:type="spellEnd"/>
      <w:r w:rsidRPr="00D65BFA">
        <w:rPr>
          <w:rFonts w:cstheme="minorHAnsi"/>
          <w:lang w:val="es-ES_tradnl"/>
        </w:rPr>
        <w:t xml:space="preserve"> en Costa Rica y Panamá. El análisis </w:t>
      </w:r>
      <w:r w:rsidRPr="00D65BFA">
        <w:rPr>
          <w:rFonts w:cstheme="minorHAnsi"/>
          <w:lang w:val="es-ES_tradnl"/>
        </w:rPr>
        <w:lastRenderedPageBreak/>
        <w:t>generó una serie de</w:t>
      </w:r>
      <w:r w:rsidRPr="00D65BFA">
        <w:rPr>
          <w:lang w:val="es-CR"/>
        </w:rPr>
        <w:t xml:space="preserve"> recomendaciones para mejorar </w:t>
      </w:r>
      <w:r w:rsidRPr="00D65BFA">
        <w:rPr>
          <w:rFonts w:cs="Arial"/>
          <w:lang w:val="es-CR"/>
        </w:rPr>
        <w:t xml:space="preserve">el acceso de los </w:t>
      </w:r>
      <w:r w:rsidRPr="00D65BFA">
        <w:rPr>
          <w:lang w:val="es-CR"/>
        </w:rPr>
        <w:t xml:space="preserve">migrantes temporales </w:t>
      </w:r>
      <w:proofErr w:type="spellStart"/>
      <w:r w:rsidRPr="00D65BFA">
        <w:rPr>
          <w:lang w:val="es-CR"/>
        </w:rPr>
        <w:t>Ngäbe</w:t>
      </w:r>
      <w:proofErr w:type="spellEnd"/>
      <w:r w:rsidRPr="00D65BFA">
        <w:rPr>
          <w:lang w:val="es-CR"/>
        </w:rPr>
        <w:t>-Bugle</w:t>
      </w:r>
      <w:r w:rsidRPr="00D65BFA">
        <w:rPr>
          <w:rFonts w:cs="Arial"/>
          <w:lang w:val="es-CR"/>
        </w:rPr>
        <w:t xml:space="preserve"> a servicios</w:t>
      </w:r>
      <w:r w:rsidRPr="00D65BFA">
        <w:rPr>
          <w:lang w:val="es-CR"/>
        </w:rPr>
        <w:t xml:space="preserve"> públicos o de base comunitaria, de salud </w:t>
      </w:r>
      <w:r w:rsidRPr="00D65BFA">
        <w:rPr>
          <w:rFonts w:cs="Arial"/>
          <w:lang w:val="es-CR"/>
        </w:rPr>
        <w:t>(incluyendo alternativas para el cuidado de niños)</w:t>
      </w:r>
      <w:r w:rsidRPr="00D65BFA">
        <w:rPr>
          <w:lang w:val="es-CR"/>
        </w:rPr>
        <w:t>, educación, trabajo y migratorios con</w:t>
      </w:r>
      <w:r w:rsidRPr="00D65BFA">
        <w:rPr>
          <w:rFonts w:cs="Arial"/>
          <w:lang w:val="es-CR"/>
        </w:rPr>
        <w:t xml:space="preserve"> sensibilidad cultural y de género durante su ruta migratoria.</w:t>
      </w:r>
      <w:r w:rsidRPr="00D65BFA">
        <w:rPr>
          <w:rFonts w:cstheme="minorHAnsi"/>
          <w:lang w:val="es-ES_tradnl"/>
        </w:rPr>
        <w:t xml:space="preserve">  </w:t>
      </w:r>
    </w:p>
    <w:p w:rsidR="00C012FD" w:rsidRPr="00D65BFA" w:rsidRDefault="00C012FD" w:rsidP="00C012FD">
      <w:pPr>
        <w:pStyle w:val="Prrafodelista"/>
        <w:numPr>
          <w:ilvl w:val="0"/>
          <w:numId w:val="2"/>
        </w:numPr>
        <w:jc w:val="both"/>
        <w:rPr>
          <w:lang w:val="es-CR"/>
        </w:rPr>
      </w:pPr>
      <w:r w:rsidRPr="00D65BFA">
        <w:rPr>
          <w:lang w:val="es-CR"/>
        </w:rPr>
        <w:t xml:space="preserve">Desarrollo de un módulo didáctico para la capacitación de operadores(as) de justicia y otros(as) funcionarios(as) públicos(as) en materia de aplicación de la Reglas de Brasilia para la población indígena migrante </w:t>
      </w:r>
      <w:proofErr w:type="spellStart"/>
      <w:r w:rsidRPr="00D65BFA">
        <w:rPr>
          <w:lang w:val="es-CR"/>
        </w:rPr>
        <w:t>Ngäbe</w:t>
      </w:r>
      <w:proofErr w:type="spellEnd"/>
      <w:r w:rsidRPr="00D65BFA">
        <w:rPr>
          <w:lang w:val="es-CR"/>
        </w:rPr>
        <w:t xml:space="preserve"> y </w:t>
      </w:r>
      <w:proofErr w:type="spellStart"/>
      <w:r w:rsidRPr="00D65BFA">
        <w:rPr>
          <w:lang w:val="es-CR"/>
        </w:rPr>
        <w:t>Buglé</w:t>
      </w:r>
      <w:proofErr w:type="spellEnd"/>
      <w:r w:rsidRPr="00D65BFA">
        <w:rPr>
          <w:lang w:val="es-CR"/>
        </w:rPr>
        <w:t>. Este módulo fue validado en dos talleres con operadores(as) de justicia (1 en San José y 1 en Golfito) con la participación de al menos 67 operadores de justicia. Se espera este módulo sea utilizado por la Escuela Judicial del Poder Judicial como contenido de su programa de estudio para su futura replicación con otros operadores de justicia del país.</w:t>
      </w:r>
    </w:p>
    <w:p w:rsidR="00C012FD" w:rsidRPr="00D65BFA" w:rsidRDefault="00C012FD" w:rsidP="00C012FD">
      <w:pPr>
        <w:jc w:val="both"/>
        <w:rPr>
          <w:b/>
          <w:bCs/>
          <w:color w:val="000000"/>
          <w:lang w:val="es-CR"/>
        </w:rPr>
      </w:pPr>
      <w:r w:rsidRPr="00D65BFA">
        <w:rPr>
          <w:b/>
          <w:bCs/>
          <w:color w:val="000000"/>
          <w:lang w:val="es-CR"/>
        </w:rPr>
        <w:t xml:space="preserve">Producto (output) 3: La utilización del enfoque de seguridad humana en la intervención con las poblaciones </w:t>
      </w:r>
      <w:proofErr w:type="spellStart"/>
      <w:r w:rsidRPr="00D65BFA">
        <w:rPr>
          <w:b/>
          <w:bCs/>
          <w:color w:val="000000"/>
          <w:lang w:val="es-CR"/>
        </w:rPr>
        <w:t>Ngäbe</w:t>
      </w:r>
      <w:proofErr w:type="spellEnd"/>
      <w:r w:rsidRPr="00D65BFA">
        <w:rPr>
          <w:b/>
          <w:bCs/>
          <w:color w:val="000000"/>
          <w:lang w:val="es-CR"/>
        </w:rPr>
        <w:t xml:space="preserve"> y </w:t>
      </w:r>
      <w:proofErr w:type="spellStart"/>
      <w:r w:rsidRPr="00D65BFA">
        <w:rPr>
          <w:b/>
          <w:bCs/>
          <w:color w:val="000000"/>
          <w:lang w:val="es-CR"/>
        </w:rPr>
        <w:t>Buglé</w:t>
      </w:r>
      <w:proofErr w:type="spellEnd"/>
      <w:r w:rsidRPr="00D65BFA">
        <w:rPr>
          <w:b/>
          <w:bCs/>
          <w:color w:val="000000"/>
          <w:lang w:val="es-CR"/>
        </w:rPr>
        <w:t xml:space="preserve"> evaluada y divulgada como buena práctica</w:t>
      </w:r>
    </w:p>
    <w:p w:rsidR="00C012FD" w:rsidRPr="00D65BFA" w:rsidRDefault="00C012FD" w:rsidP="00C012FD">
      <w:pPr>
        <w:pStyle w:val="Prrafodelista"/>
        <w:numPr>
          <w:ilvl w:val="0"/>
          <w:numId w:val="3"/>
        </w:numPr>
        <w:jc w:val="both"/>
        <w:rPr>
          <w:lang w:val="es-CR"/>
        </w:rPr>
      </w:pPr>
      <w:r w:rsidRPr="00D65BFA">
        <w:rPr>
          <w:lang w:val="es-CR"/>
        </w:rPr>
        <w:t>Implementación de evaluación de Medio Periodo</w:t>
      </w:r>
    </w:p>
    <w:p w:rsidR="00C012FD" w:rsidRPr="00D65BFA" w:rsidRDefault="00C012FD" w:rsidP="00C012FD">
      <w:pPr>
        <w:pStyle w:val="Prrafodelista"/>
        <w:numPr>
          <w:ilvl w:val="0"/>
          <w:numId w:val="3"/>
        </w:numPr>
        <w:jc w:val="both"/>
        <w:rPr>
          <w:lang w:val="es-CR"/>
        </w:rPr>
      </w:pPr>
      <w:r w:rsidRPr="00D65BFA">
        <w:rPr>
          <w:lang w:val="es-CR"/>
        </w:rPr>
        <w:t>Reporte Anual Presentado al UNTFHS</w:t>
      </w:r>
    </w:p>
    <w:p w:rsidR="00C012FD" w:rsidRPr="00D65BFA" w:rsidRDefault="00C012FD" w:rsidP="00C012FD">
      <w:pPr>
        <w:pStyle w:val="Prrafodelista"/>
        <w:numPr>
          <w:ilvl w:val="0"/>
          <w:numId w:val="3"/>
        </w:numPr>
        <w:jc w:val="both"/>
        <w:rPr>
          <w:lang w:val="es-CR"/>
        </w:rPr>
      </w:pPr>
      <w:r w:rsidRPr="00D65BFA">
        <w:rPr>
          <w:lang w:val="es-CR"/>
        </w:rPr>
        <w:t>Organización de Taller Regional sobre Buenas Prácticas en Seguridad Humana con 20 participantes de países de Latinoamérica</w:t>
      </w:r>
    </w:p>
    <w:p w:rsidR="00C012FD" w:rsidRPr="00D65BFA" w:rsidRDefault="00C012FD" w:rsidP="00C012FD">
      <w:pPr>
        <w:pStyle w:val="Prrafodelista"/>
        <w:numPr>
          <w:ilvl w:val="0"/>
          <w:numId w:val="3"/>
        </w:numPr>
        <w:jc w:val="both"/>
        <w:rPr>
          <w:lang w:val="es-CR"/>
        </w:rPr>
      </w:pPr>
      <w:r w:rsidRPr="00D65BFA">
        <w:rPr>
          <w:lang w:val="es-CR"/>
        </w:rPr>
        <w:t>Desarrollo del Sistema de Monitoreo y Seguimiento del PC</w:t>
      </w:r>
    </w:p>
    <w:p w:rsidR="00D65BFA" w:rsidRPr="00350664" w:rsidRDefault="00D65BFA" w:rsidP="00D65BFA">
      <w:pPr>
        <w:rPr>
          <w:rFonts w:ascii="Calibri" w:hAnsi="Calibri"/>
          <w:b/>
          <w:lang w:val="es-CR"/>
        </w:rPr>
      </w:pPr>
    </w:p>
    <w:p w:rsidR="00350664" w:rsidRDefault="00350664" w:rsidP="00D65BFA">
      <w:pPr>
        <w:rPr>
          <w:rFonts w:ascii="Calibri" w:hAnsi="Calibri"/>
          <w:b/>
          <w:lang w:val="es-CR"/>
        </w:rPr>
      </w:pPr>
      <w:r>
        <w:rPr>
          <w:rFonts w:ascii="Calibri" w:hAnsi="Calibri"/>
          <w:b/>
          <w:lang w:val="es-CR"/>
        </w:rPr>
        <w:t>Problemas presentados y soluciones adoptadas</w:t>
      </w:r>
    </w:p>
    <w:p w:rsidR="00350664" w:rsidRPr="00FE6378" w:rsidRDefault="00FE6378" w:rsidP="00FE6378">
      <w:pPr>
        <w:jc w:val="both"/>
        <w:rPr>
          <w:rFonts w:ascii="Calibri" w:hAnsi="Calibri"/>
          <w:lang w:val="es-CR"/>
        </w:rPr>
      </w:pPr>
      <w:r w:rsidRPr="00FE6378">
        <w:rPr>
          <w:rFonts w:ascii="Calibri" w:hAnsi="Calibri"/>
          <w:lang w:val="es-CR"/>
        </w:rPr>
        <w:t xml:space="preserve">El proyecto sufrió retrasos en su arranque debido al proceso de solicitud de permiso para realizar implementación directa (DIM). Obtener esta autorización era de gran importancia debido a la variedad de socios en la implementación. </w:t>
      </w:r>
      <w:r>
        <w:rPr>
          <w:rFonts w:ascii="Calibri" w:hAnsi="Calibri"/>
          <w:lang w:val="es-CR"/>
        </w:rPr>
        <w:t xml:space="preserve">Durante el año 2014, al ser un año electoral se tomó la decisión de reprogramar actividades políticas o que necesitaran un fuerte liderazgo de las autoridades del gobierno central hasta el ingreso de la nueva administración. Esto generó nuevos retrasos en la implementación, especialmente, aquellas actividades relacionadas con la coordinación de acciones interinstitucionales, de incidencia política binacional y de sostenibilidad de los resultados del proyecto. Para revertir los retrasos en la implementación, durante el año 2015, se elaboró una hoja de ruta de trabajo que ha permitido acelerar la ejecución del proyecto </w:t>
      </w:r>
      <w:r w:rsidR="003863E6">
        <w:rPr>
          <w:rFonts w:ascii="Calibri" w:hAnsi="Calibri"/>
          <w:lang w:val="es-CR"/>
        </w:rPr>
        <w:t xml:space="preserve">para ajustarse a las fechas de cierre programadas por el PC y alcanzar los resultados propuestos. </w:t>
      </w:r>
    </w:p>
    <w:p w:rsidR="003863E6" w:rsidRDefault="003863E6" w:rsidP="00D65BFA">
      <w:pPr>
        <w:rPr>
          <w:rFonts w:ascii="Calibri" w:hAnsi="Calibri"/>
          <w:b/>
          <w:lang w:val="es-CR"/>
        </w:rPr>
      </w:pPr>
    </w:p>
    <w:p w:rsidR="003863E6" w:rsidRDefault="003863E6" w:rsidP="00D65BFA">
      <w:pPr>
        <w:rPr>
          <w:rFonts w:ascii="Calibri" w:hAnsi="Calibri"/>
          <w:b/>
          <w:lang w:val="es-CR"/>
        </w:rPr>
      </w:pPr>
    </w:p>
    <w:p w:rsidR="003863E6" w:rsidRDefault="003863E6" w:rsidP="00D65BFA">
      <w:pPr>
        <w:rPr>
          <w:rFonts w:ascii="Calibri" w:hAnsi="Calibri"/>
          <w:b/>
          <w:lang w:val="es-CR"/>
        </w:rPr>
      </w:pPr>
    </w:p>
    <w:p w:rsidR="003863E6" w:rsidRDefault="003863E6" w:rsidP="00D65BFA">
      <w:pPr>
        <w:rPr>
          <w:rFonts w:ascii="Calibri" w:hAnsi="Calibri"/>
          <w:b/>
          <w:lang w:val="es-CR"/>
        </w:rPr>
      </w:pPr>
    </w:p>
    <w:p w:rsidR="003863E6" w:rsidRDefault="003863E6" w:rsidP="00D65BFA">
      <w:pPr>
        <w:rPr>
          <w:rFonts w:ascii="Calibri" w:hAnsi="Calibri"/>
          <w:b/>
          <w:lang w:val="es-CR"/>
        </w:rPr>
      </w:pPr>
    </w:p>
    <w:p w:rsidR="00D65BFA" w:rsidRPr="00FE6378" w:rsidRDefault="00D65BFA" w:rsidP="00D65BFA">
      <w:pPr>
        <w:rPr>
          <w:rFonts w:ascii="Calibri" w:hAnsi="Calibri"/>
          <w:b/>
          <w:lang w:val="es-CR"/>
        </w:rPr>
      </w:pPr>
      <w:r w:rsidRPr="00FE6378">
        <w:rPr>
          <w:rFonts w:ascii="Calibri" w:hAnsi="Calibri"/>
          <w:b/>
          <w:lang w:val="es-CR"/>
        </w:rPr>
        <w:lastRenderedPageBreak/>
        <w:t>Informe financiero 2013-2015</w:t>
      </w:r>
    </w:p>
    <w:tbl>
      <w:tblPr>
        <w:tblStyle w:val="Tabladecuadrcula4-nfasis2"/>
        <w:tblW w:w="5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336"/>
      </w:tblGrid>
      <w:tr w:rsidR="00D65BFA" w:rsidRPr="00D65BFA" w:rsidTr="00BF1C7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noWrap/>
            <w:hideMark/>
          </w:tcPr>
          <w:p w:rsidR="003A63AF" w:rsidRDefault="00D65BFA" w:rsidP="003A63AF">
            <w:pPr>
              <w:rPr>
                <w:rFonts w:ascii="Calibri" w:hAnsi="Calibri"/>
                <w:color w:val="000000"/>
              </w:rPr>
            </w:pPr>
            <w:proofErr w:type="spellStart"/>
            <w:r>
              <w:rPr>
                <w:rFonts w:ascii="Calibri" w:hAnsi="Calibri"/>
                <w:color w:val="000000"/>
              </w:rPr>
              <w:t>Presupuesto</w:t>
            </w:r>
            <w:proofErr w:type="spellEnd"/>
            <w:r>
              <w:rPr>
                <w:rFonts w:ascii="Calibri" w:hAnsi="Calibri"/>
                <w:color w:val="000000"/>
              </w:rPr>
              <w:t xml:space="preserve"> total </w:t>
            </w:r>
          </w:p>
          <w:p w:rsidR="00D65BFA" w:rsidRDefault="00D65BFA" w:rsidP="003A63AF">
            <w:pPr>
              <w:rPr>
                <w:rFonts w:ascii="Calibri" w:hAnsi="Calibri"/>
                <w:color w:val="000000"/>
                <w:lang w:eastAsia="es-CR"/>
              </w:rPr>
            </w:pPr>
            <w:r>
              <w:rPr>
                <w:rFonts w:ascii="Calibri" w:hAnsi="Calibri"/>
                <w:color w:val="000000"/>
              </w:rPr>
              <w:t>(2013-2016)</w:t>
            </w:r>
          </w:p>
        </w:tc>
        <w:tc>
          <w:tcPr>
            <w:tcW w:w="1336" w:type="dxa"/>
            <w:tcBorders>
              <w:top w:val="single" w:sz="4" w:space="0" w:color="auto"/>
              <w:left w:val="single" w:sz="4" w:space="0" w:color="auto"/>
              <w:bottom w:val="single" w:sz="4" w:space="0" w:color="auto"/>
              <w:right w:val="single" w:sz="4" w:space="0" w:color="auto"/>
            </w:tcBorders>
            <w:noWrap/>
            <w:hideMark/>
          </w:tcPr>
          <w:p w:rsidR="00D65BFA" w:rsidRPr="00D65BFA" w:rsidRDefault="00D65BFA" w:rsidP="000B3DBC">
            <w:pPr>
              <w:jc w:val="right"/>
              <w:cnfStyle w:val="100000000000" w:firstRow="1" w:lastRow="0" w:firstColumn="0" w:lastColumn="0" w:oddVBand="0" w:evenVBand="0" w:oddHBand="0" w:evenHBand="0" w:firstRowFirstColumn="0" w:firstRowLastColumn="0" w:lastRowFirstColumn="0" w:lastRowLastColumn="0"/>
              <w:rPr>
                <w:rFonts w:ascii="Calibri" w:hAnsi="Calibri"/>
                <w:color w:val="auto"/>
              </w:rPr>
            </w:pPr>
            <w:r w:rsidRPr="00D65BFA">
              <w:rPr>
                <w:color w:val="auto"/>
                <w:lang w:val="es-CR"/>
              </w:rPr>
              <w:t>$281.045,13</w:t>
            </w:r>
          </w:p>
        </w:tc>
      </w:tr>
      <w:tr w:rsidR="00D65BFA" w:rsidTr="00BF1C7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rsidR="00D65BFA" w:rsidRPr="003A63AF" w:rsidRDefault="00D65BFA" w:rsidP="003A63AF">
            <w:pPr>
              <w:rPr>
                <w:rFonts w:ascii="Calibri" w:hAnsi="Calibri"/>
                <w:color w:val="000000"/>
                <w:lang w:val="es-CR"/>
              </w:rPr>
            </w:pPr>
            <w:r w:rsidRPr="003A63AF">
              <w:rPr>
                <w:rFonts w:ascii="Calibri" w:hAnsi="Calibri"/>
                <w:color w:val="000000"/>
                <w:lang w:val="es-CR"/>
              </w:rPr>
              <w:t xml:space="preserve">Gasto al 31 </w:t>
            </w:r>
            <w:r w:rsidR="003A63AF" w:rsidRPr="003A63AF">
              <w:rPr>
                <w:rFonts w:ascii="Calibri" w:hAnsi="Calibri"/>
                <w:color w:val="000000"/>
                <w:lang w:val="es-CR"/>
              </w:rPr>
              <w:t xml:space="preserve">de diciembre del </w:t>
            </w:r>
            <w:r w:rsidRPr="003A63AF">
              <w:rPr>
                <w:rFonts w:ascii="Calibri" w:hAnsi="Calibri"/>
                <w:color w:val="000000"/>
                <w:lang w:val="es-CR"/>
              </w:rPr>
              <w:t>2015</w:t>
            </w:r>
          </w:p>
        </w:tc>
        <w:tc>
          <w:tcPr>
            <w:tcW w:w="1336" w:type="dxa"/>
            <w:noWrap/>
            <w:hideMark/>
          </w:tcPr>
          <w:p w:rsidR="00D65BFA" w:rsidRDefault="003A63AF" w:rsidP="00BF1C7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D65BFA">
              <w:rPr>
                <w:lang w:val="es-CR"/>
              </w:rPr>
              <w:t>$</w:t>
            </w:r>
            <w:r>
              <w:rPr>
                <w:rFonts w:ascii="Calibri" w:hAnsi="Calibri"/>
                <w:color w:val="000000"/>
              </w:rPr>
              <w:t>1</w:t>
            </w:r>
            <w:r w:rsidR="00BF1C78">
              <w:rPr>
                <w:rFonts w:ascii="Calibri" w:hAnsi="Calibri"/>
                <w:color w:val="000000"/>
              </w:rPr>
              <w:t>52</w:t>
            </w:r>
            <w:r>
              <w:rPr>
                <w:rFonts w:ascii="Calibri" w:hAnsi="Calibri"/>
                <w:color w:val="000000"/>
              </w:rPr>
              <w:t>.6</w:t>
            </w:r>
            <w:r w:rsidR="00BF1C78">
              <w:rPr>
                <w:rFonts w:ascii="Calibri" w:hAnsi="Calibri"/>
                <w:color w:val="000000"/>
              </w:rPr>
              <w:t>95.42</w:t>
            </w:r>
          </w:p>
        </w:tc>
      </w:tr>
      <w:tr w:rsidR="00D65BFA" w:rsidTr="00BF1C78">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rsidR="00D65BFA" w:rsidRDefault="00870B49" w:rsidP="000B3DBC">
            <w:pPr>
              <w:rPr>
                <w:rFonts w:ascii="Calibri" w:hAnsi="Calibri"/>
                <w:color w:val="000000"/>
              </w:rPr>
            </w:pPr>
            <w:proofErr w:type="spellStart"/>
            <w:r>
              <w:rPr>
                <w:rFonts w:ascii="Calibri" w:hAnsi="Calibri"/>
                <w:color w:val="000000"/>
              </w:rPr>
              <w:t>Gastos</w:t>
            </w:r>
            <w:proofErr w:type="spellEnd"/>
            <w:r>
              <w:rPr>
                <w:rFonts w:ascii="Calibri" w:hAnsi="Calibri"/>
                <w:color w:val="000000"/>
              </w:rPr>
              <w:t xml:space="preserve"> </w:t>
            </w:r>
            <w:proofErr w:type="spellStart"/>
            <w:r>
              <w:rPr>
                <w:rFonts w:ascii="Calibri" w:hAnsi="Calibri"/>
                <w:color w:val="000000"/>
              </w:rPr>
              <w:t>programados</w:t>
            </w:r>
            <w:proofErr w:type="spellEnd"/>
            <w:r>
              <w:rPr>
                <w:rFonts w:ascii="Calibri" w:hAnsi="Calibri"/>
                <w:color w:val="000000"/>
              </w:rPr>
              <w:t xml:space="preserve"> para el </w:t>
            </w:r>
            <w:r w:rsidR="00BF1C78">
              <w:rPr>
                <w:rFonts w:ascii="Calibri" w:hAnsi="Calibri"/>
                <w:color w:val="000000"/>
              </w:rPr>
              <w:t>2016</w:t>
            </w:r>
          </w:p>
        </w:tc>
        <w:tc>
          <w:tcPr>
            <w:tcW w:w="1336" w:type="dxa"/>
            <w:noWrap/>
          </w:tcPr>
          <w:p w:rsidR="00D65BFA" w:rsidRDefault="00BF1C78" w:rsidP="00BF1C7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D65BFA">
              <w:rPr>
                <w:lang w:val="es-CR"/>
              </w:rPr>
              <w:t>$</w:t>
            </w:r>
            <w:r>
              <w:rPr>
                <w:rFonts w:ascii="Calibri" w:hAnsi="Calibri"/>
                <w:color w:val="000000"/>
              </w:rPr>
              <w:t>128.349,71</w:t>
            </w:r>
          </w:p>
        </w:tc>
      </w:tr>
    </w:tbl>
    <w:p w:rsidR="00043675" w:rsidRPr="00C012FD" w:rsidRDefault="00043675">
      <w:pPr>
        <w:rPr>
          <w:lang w:val="es-CR"/>
        </w:rPr>
      </w:pPr>
      <w:bookmarkStart w:id="0" w:name="_GoBack"/>
      <w:bookmarkEnd w:id="0"/>
    </w:p>
    <w:sectPr w:rsidR="00043675" w:rsidRPr="00C012F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F67" w:rsidRDefault="00E94F67" w:rsidP="00604C01">
      <w:pPr>
        <w:spacing w:after="0" w:line="240" w:lineRule="auto"/>
      </w:pPr>
      <w:r>
        <w:separator/>
      </w:r>
    </w:p>
  </w:endnote>
  <w:endnote w:type="continuationSeparator" w:id="0">
    <w:p w:rsidR="00E94F67" w:rsidRDefault="00E94F67" w:rsidP="00604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F67" w:rsidRDefault="00E94F67" w:rsidP="00604C01">
      <w:pPr>
        <w:spacing w:after="0" w:line="240" w:lineRule="auto"/>
      </w:pPr>
      <w:r>
        <w:separator/>
      </w:r>
    </w:p>
  </w:footnote>
  <w:footnote w:type="continuationSeparator" w:id="0">
    <w:p w:rsidR="00E94F67" w:rsidRDefault="00E94F67" w:rsidP="00604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01" w:rsidRDefault="00604C01" w:rsidP="00604C01">
    <w:pPr>
      <w:tabs>
        <w:tab w:val="num" w:pos="1440"/>
      </w:tabs>
      <w:jc w:val="both"/>
      <w:rPr>
        <w:b/>
        <w:bCs/>
        <w:lang w:val="es-CR"/>
      </w:rPr>
    </w:pPr>
  </w:p>
  <w:p w:rsidR="00604C01" w:rsidRPr="00604C01" w:rsidRDefault="00604C01">
    <w:pPr>
      <w:pStyle w:val="Encabezado"/>
      <w:rPr>
        <w:lang w:val="es-C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52901"/>
    <w:multiLevelType w:val="hybridMultilevel"/>
    <w:tmpl w:val="99805E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83C37BA"/>
    <w:multiLevelType w:val="hybridMultilevel"/>
    <w:tmpl w:val="4810E9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B9F79E3"/>
    <w:multiLevelType w:val="hybridMultilevel"/>
    <w:tmpl w:val="C410358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 w15:restartNumberingAfterBreak="0">
    <w:nsid w:val="4DAC7D1B"/>
    <w:multiLevelType w:val="hybridMultilevel"/>
    <w:tmpl w:val="B5703F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0C"/>
    <w:rsid w:val="00043675"/>
    <w:rsid w:val="00350664"/>
    <w:rsid w:val="00356BEE"/>
    <w:rsid w:val="003863E6"/>
    <w:rsid w:val="003A63AF"/>
    <w:rsid w:val="00536B0C"/>
    <w:rsid w:val="005D3BCA"/>
    <w:rsid w:val="00604C01"/>
    <w:rsid w:val="00755CC8"/>
    <w:rsid w:val="00870B49"/>
    <w:rsid w:val="00BF1C78"/>
    <w:rsid w:val="00C012FD"/>
    <w:rsid w:val="00D4600E"/>
    <w:rsid w:val="00D65BFA"/>
    <w:rsid w:val="00E94F67"/>
    <w:rsid w:val="00FE637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E577B-EA7C-403D-A374-F7D9376A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2FD"/>
    <w:pPr>
      <w:spacing w:after="200" w:line="27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012FD"/>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paragraph" w:styleId="Prrafodelista">
    <w:name w:val="List Paragraph"/>
    <w:basedOn w:val="Normal"/>
    <w:uiPriority w:val="34"/>
    <w:qFormat/>
    <w:rsid w:val="00C012FD"/>
    <w:pPr>
      <w:ind w:left="720"/>
      <w:contextualSpacing/>
    </w:pPr>
  </w:style>
  <w:style w:type="paragraph" w:styleId="Sinespaciado">
    <w:name w:val="No Spacing"/>
    <w:link w:val="SinespaciadoCar"/>
    <w:uiPriority w:val="1"/>
    <w:qFormat/>
    <w:rsid w:val="00C012FD"/>
    <w:pPr>
      <w:spacing w:after="0" w:line="240" w:lineRule="auto"/>
    </w:pPr>
    <w:rPr>
      <w:rFonts w:eastAsiaTheme="minorEastAsia"/>
      <w:sz w:val="24"/>
      <w:szCs w:val="24"/>
      <w:lang w:val="en-US" w:eastAsia="es-ES"/>
    </w:rPr>
  </w:style>
  <w:style w:type="character" w:customStyle="1" w:styleId="SinespaciadoCar">
    <w:name w:val="Sin espaciado Car"/>
    <w:basedOn w:val="Fuentedeprrafopredeter"/>
    <w:link w:val="Sinespaciado"/>
    <w:uiPriority w:val="1"/>
    <w:rsid w:val="00C012FD"/>
    <w:rPr>
      <w:rFonts w:eastAsiaTheme="minorEastAsia"/>
      <w:sz w:val="24"/>
      <w:szCs w:val="24"/>
      <w:lang w:val="en-US" w:eastAsia="es-ES"/>
    </w:rPr>
  </w:style>
  <w:style w:type="paragraph" w:styleId="Encabezado">
    <w:name w:val="header"/>
    <w:basedOn w:val="Normal"/>
    <w:link w:val="EncabezadoCar"/>
    <w:uiPriority w:val="99"/>
    <w:unhideWhenUsed/>
    <w:rsid w:val="00D4600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4600E"/>
    <w:rPr>
      <w:lang w:val="en-US"/>
    </w:rPr>
  </w:style>
  <w:style w:type="paragraph" w:styleId="Piedepgina">
    <w:name w:val="footer"/>
    <w:basedOn w:val="Normal"/>
    <w:link w:val="PiedepginaCar"/>
    <w:uiPriority w:val="99"/>
    <w:unhideWhenUsed/>
    <w:rsid w:val="00604C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4C01"/>
    <w:rPr>
      <w:lang w:val="en-US"/>
    </w:rPr>
  </w:style>
  <w:style w:type="table" w:styleId="Tabladecuadrcula4-nfasis2">
    <w:name w:val="Grid Table 4 Accent 2"/>
    <w:basedOn w:val="Tablanormal"/>
    <w:uiPriority w:val="49"/>
    <w:rsid w:val="00D65BF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2016-02-29T19:00:00+00:00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242</Value>
      <Value>1289</Value>
      <Value>1107</Value>
      <Value>763</Value>
    </TaxCatchAll>
    <c4e2ab2cc9354bbf9064eeb465a566ea xmlns="1ed4137b-41b2-488b-8250-6d369ec27664">
      <Terms xmlns="http://schemas.microsoft.com/office/infopath/2007/PartnerControls"/>
    </c4e2ab2cc9354bbf9064eeb465a566ea>
    <UndpProjectNo xmlns="1ed4137b-41b2-488b-8250-6d369ec27664">00077032</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CRI</TermName>
          <TermId xmlns="http://schemas.microsoft.com/office/infopath/2007/PartnerControls">63660651-f839-4300-a31c-00f97fb7fdd7</TermId>
        </TermInfo>
      </Terms>
    </gc6531b704974d528487414686b72f6f>
    <_dlc_DocId xmlns="f1161f5b-24a3-4c2d-bc81-44cb9325e8ee">ATLASPDC-4-45360</_dlc_DocId>
    <_dlc_DocIdUrl xmlns="f1161f5b-24a3-4c2d-bc81-44cb9325e8ee">
      <Url>https://info.undp.org/docs/pdc/_layouts/DocIdRedir.aspx?ID=ATLASPDC-4-45360</Url>
      <Description>ATLASPDC-4-45360</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41D88662-640A-4BA7-85D8-5AB9BA6CAE55}"/>
</file>

<file path=customXml/itemProps2.xml><?xml version="1.0" encoding="utf-8"?>
<ds:datastoreItem xmlns:ds="http://schemas.openxmlformats.org/officeDocument/2006/customXml" ds:itemID="{A7900C70-828A-43F5-A254-18D035C4650F}"/>
</file>

<file path=customXml/itemProps3.xml><?xml version="1.0" encoding="utf-8"?>
<ds:datastoreItem xmlns:ds="http://schemas.openxmlformats.org/officeDocument/2006/customXml" ds:itemID="{AE641F17-D1A8-4B84-B71D-13577B193993}"/>
</file>

<file path=customXml/itemProps4.xml><?xml version="1.0" encoding="utf-8"?>
<ds:datastoreItem xmlns:ds="http://schemas.openxmlformats.org/officeDocument/2006/customXml" ds:itemID="{F88C90DA-2D0F-421D-B502-21D6251CEB55}"/>
</file>

<file path=customXml/itemProps5.xml><?xml version="1.0" encoding="utf-8"?>
<ds:datastoreItem xmlns:ds="http://schemas.openxmlformats.org/officeDocument/2006/customXml" ds:itemID="{5BF0D9E3-7C45-4B07-9FA5-36888237D5FF}"/>
</file>

<file path=docProps/app.xml><?xml version="1.0" encoding="utf-8"?>
<Properties xmlns="http://schemas.openxmlformats.org/officeDocument/2006/extended-properties" xmlns:vt="http://schemas.openxmlformats.org/officeDocument/2006/docPropsVTypes">
  <Template>Normal</Template>
  <TotalTime>80</TotalTime>
  <Pages>5</Pages>
  <Words>1570</Words>
  <Characters>8639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Madai Linkimer</dc:creator>
  <cp:keywords/>
  <dc:description/>
  <cp:lastModifiedBy>Madai Linkimer</cp:lastModifiedBy>
  <cp:revision>8</cp:revision>
  <dcterms:created xsi:type="dcterms:W3CDTF">2016-01-12T16:34:00Z</dcterms:created>
  <dcterms:modified xsi:type="dcterms:W3CDTF">2016-01-12T18:31:00Z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235;#Other|31c9cb5b-e3a5-4ce8-95bd-eda20410466c</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242;#Spanish|4e414ef6-23af-4d09-959b-cacfb5bc82ab</vt:lpwstr>
  </property>
  <property fmtid="{D5CDD505-2E9C-101B-9397-08002B2CF9AE}" pid="9" name="Operating Unit0">
    <vt:lpwstr>1289;#CRI|63660651-f839-4300-a31c-00f97fb7fdd7</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1107;#Other|10be685e-4bef-4aec-b905-4df3748c0781</vt:lpwstr>
  </property>
  <property fmtid="{D5CDD505-2E9C-101B-9397-08002B2CF9AE}" pid="17" name="_dlc_DocIdItemGuid">
    <vt:lpwstr>01b3bfe5-c0d0-4c78-b808-2f689a8f0a99</vt:lpwstr>
  </property>
  <property fmtid="{D5CDD505-2E9C-101B-9397-08002B2CF9AE}" pid="18" name="URL">
    <vt:lpwstr/>
  </property>
  <property fmtid="{D5CDD505-2E9C-101B-9397-08002B2CF9AE}" pid="19" name="DocumentSetDescription">
    <vt:lpwstr/>
  </property>
</Properties>
</file>